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2048D" w14:textId="2253BD50" w:rsidR="00EC1F5B" w:rsidRDefault="00EC1F5B" w:rsidP="00473858">
      <w:pPr>
        <w:spacing w:after="240"/>
        <w:ind w:firstLine="709"/>
        <w:rPr>
          <w:rFonts w:ascii="Garamond" w:eastAsia="Garamond" w:hAnsi="Garamond" w:cs="Garamond"/>
          <w:b/>
          <w:smallCaps/>
          <w:sz w:val="50"/>
          <w:szCs w:val="50"/>
        </w:rPr>
      </w:pPr>
      <w:r>
        <w:rPr>
          <w:noProof/>
          <w:lang w:eastAsia="es-AR"/>
        </w:rPr>
        <mc:AlternateContent>
          <mc:Choice Requires="wps">
            <w:drawing>
              <wp:anchor distT="0" distB="0" distL="114300" distR="114300" simplePos="0" relativeHeight="251660288" behindDoc="0" locked="0" layoutInCell="1" hidden="0" allowOverlap="1" wp14:anchorId="5AA1CC74" wp14:editId="2C5463FB">
                <wp:simplePos x="0" y="0"/>
                <wp:positionH relativeFrom="column">
                  <wp:posOffset>807721</wp:posOffset>
                </wp:positionH>
                <wp:positionV relativeFrom="paragraph">
                  <wp:posOffset>512445</wp:posOffset>
                </wp:positionV>
                <wp:extent cx="5524500" cy="676275"/>
                <wp:effectExtent l="0" t="0" r="0" b="9525"/>
                <wp:wrapNone/>
                <wp:docPr id="33" name="Rectángulo 33"/>
                <wp:cNvGraphicFramePr/>
                <a:graphic xmlns:a="http://schemas.openxmlformats.org/drawingml/2006/main">
                  <a:graphicData uri="http://schemas.microsoft.com/office/word/2010/wordprocessingShape">
                    <wps:wsp>
                      <wps:cNvSpPr/>
                      <wps:spPr>
                        <a:xfrm>
                          <a:off x="0" y="0"/>
                          <a:ext cx="5524500" cy="676275"/>
                        </a:xfrm>
                        <a:prstGeom prst="rect">
                          <a:avLst/>
                        </a:prstGeom>
                        <a:solidFill>
                          <a:srgbClr val="D8D8D8"/>
                        </a:solidFill>
                        <a:ln>
                          <a:noFill/>
                        </a:ln>
                      </wps:spPr>
                      <wps:txbx>
                        <w:txbxContent>
                          <w:p w14:paraId="64264875" w14:textId="77777777" w:rsidR="00EC1F5B" w:rsidRDefault="00EC1F5B" w:rsidP="00EC1F5B">
                            <w:pPr>
                              <w:spacing w:before="120"/>
                              <w:ind w:left="567" w:right="839" w:firstLine="567"/>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5AA1CC74" id="Rectángulo 33" o:spid="_x0000_s1026" style="position:absolute;left:0;text-align:left;margin-left:63.6pt;margin-top:40.35pt;width:435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" fillcolor="#d8d8d8" stroked="f">
                <v:textbox inset="2.53958mm,1.2694mm,2.53958mm,1.2694mm">
                  <w:txbxContent>
                    <w:p w14:paraId="64264875" w14:textId="77777777" w:rsidR="00EC1F5B" w:rsidRDefault="00EC1F5B" w:rsidP="00EC1F5B">
                      <w:pPr>
                        <w:spacing w:before="120"/>
                        <w:ind w:left="567" w:right="839" w:firstLine="567"/>
                        <w:jc w:val="center"/>
                        <w:textDirection w:val="btLr"/>
                      </w:pPr>
                    </w:p>
                  </w:txbxContent>
                </v:textbox>
              </v:rect>
            </w:pict>
          </mc:Fallback>
        </mc:AlternateContent>
      </w:r>
      <w:r>
        <w:rPr>
          <w:noProof/>
          <w:lang w:eastAsia="es-AR"/>
        </w:rPr>
        <mc:AlternateContent>
          <mc:Choice Requires="wps">
            <w:drawing>
              <wp:anchor distT="0" distB="0" distL="114300" distR="114300" simplePos="0" relativeHeight="251659264" behindDoc="0" locked="0" layoutInCell="1" hidden="0" allowOverlap="1" wp14:anchorId="7BEDD6F2" wp14:editId="6E5C0111">
                <wp:simplePos x="0" y="0"/>
                <wp:positionH relativeFrom="column">
                  <wp:posOffset>-1433830</wp:posOffset>
                </wp:positionH>
                <wp:positionV relativeFrom="paragraph">
                  <wp:posOffset>521970</wp:posOffset>
                </wp:positionV>
                <wp:extent cx="2362200" cy="666750"/>
                <wp:effectExtent l="0" t="0" r="0" b="0"/>
                <wp:wrapNone/>
                <wp:docPr id="30" name="Rectángulo 30"/>
                <wp:cNvGraphicFramePr/>
                <a:graphic xmlns:a="http://schemas.openxmlformats.org/drawingml/2006/main">
                  <a:graphicData uri="http://schemas.microsoft.com/office/word/2010/wordprocessingShape">
                    <wps:wsp>
                      <wps:cNvSpPr/>
                      <wps:spPr>
                        <a:xfrm>
                          <a:off x="0" y="0"/>
                          <a:ext cx="2362200" cy="666750"/>
                        </a:xfrm>
                        <a:prstGeom prst="rect">
                          <a:avLst/>
                        </a:prstGeom>
                        <a:solidFill>
                          <a:srgbClr val="A5A5A5"/>
                        </a:solidFill>
                        <a:ln>
                          <a:noFill/>
                        </a:ln>
                      </wps:spPr>
                      <wps:txbx>
                        <w:txbxContent>
                          <w:p w14:paraId="7414DCD8" w14:textId="12514336" w:rsidR="00EC1F5B" w:rsidRPr="0007206B" w:rsidRDefault="00302286" w:rsidP="00D434B6">
                            <w:pPr>
                              <w:spacing w:before="240"/>
                              <w:ind w:firstLine="567"/>
                              <w:textDirection w:val="btLr"/>
                            </w:pPr>
                            <w:r>
                              <w:rPr>
                                <w:rFonts w:ascii="Garamond" w:eastAsia="Garamond" w:hAnsi="Garamond" w:cs="Garamond"/>
                                <w:b/>
                                <w:i/>
                                <w:smallCaps/>
                                <w:color w:val="000000"/>
                                <w:sz w:val="44"/>
                              </w:rPr>
                              <w:t>Reseñas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oel="http://schemas.microsoft.com/office/2019/extlst" xmlns:w16sdtdh="http://schemas.microsoft.com/office/word/2020/wordml/sdtdatahash">
            <w:pict>
              <v:rect w14:anchorId="7BEDD6F2" id="Rectángulo 30" o:spid="_x0000_s1027" style="position:absolute;left:0;text-align:left;margin-left:-112.9pt;margin-top:41.1pt;width:186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" fillcolor="#a5a5a5" stroked="f">
                <v:textbox inset="2.53958mm,1.2694mm,2.53958mm,1.2694mm">
                  <w:txbxContent>
                    <w:p w14:paraId="7414DCD8" w14:textId="12514336" w:rsidR="00EC1F5B" w:rsidRPr="0007206B" w:rsidRDefault="00302286" w:rsidP="00D434B6">
                      <w:pPr>
                        <w:spacing w:before="240"/>
                        <w:ind w:firstLine="567"/>
                        <w:textDirection w:val="btLr"/>
                      </w:pPr>
                      <w:r>
                        <w:rPr>
                          <w:rFonts w:ascii="Garamond" w:eastAsia="Garamond" w:hAnsi="Garamond" w:cs="Garamond"/>
                          <w:b/>
                          <w:i/>
                          <w:smallCaps/>
                          <w:color w:val="000000"/>
                          <w:sz w:val="44"/>
                        </w:rPr>
                        <w:t>Reseñas</w:t>
                      </w:r>
                    </w:p>
                  </w:txbxContent>
                </v:textbox>
              </v:rect>
            </w:pict>
          </mc:Fallback>
        </mc:AlternateContent>
      </w:r>
    </w:p>
    <w:p w14:paraId="4A9EC4F5" w14:textId="224CCC77" w:rsidR="00EC1F5B" w:rsidRDefault="00EC1F5B" w:rsidP="00302286">
      <w:pPr>
        <w:spacing w:after="600"/>
        <w:ind w:right="-992"/>
        <w:rPr>
          <w:rFonts w:ascii="Garamond" w:eastAsia="Garamond" w:hAnsi="Garamond" w:cs="Garamond"/>
          <w:b/>
          <w:smallCaps/>
          <w:sz w:val="50"/>
          <w:szCs w:val="50"/>
        </w:rPr>
      </w:pPr>
    </w:p>
    <w:p w14:paraId="774CA6E0" w14:textId="77777777" w:rsidR="00302286" w:rsidRDefault="00302286" w:rsidP="00302286">
      <w:pPr>
        <w:spacing w:after="600"/>
        <w:ind w:right="-992"/>
        <w:rPr>
          <w:rFonts w:ascii="Garamond" w:eastAsia="Garamond" w:hAnsi="Garamond" w:cs="Garamond"/>
          <w:b/>
          <w:smallCaps/>
          <w:sz w:val="50"/>
          <w:szCs w:val="50"/>
        </w:rPr>
      </w:pPr>
    </w:p>
    <w:p w14:paraId="47F6D421" w14:textId="77777777" w:rsidR="00EC1F5B" w:rsidRDefault="00EC1F5B" w:rsidP="00EC1F5B">
      <w:pPr>
        <w:pStyle w:val="Heading2"/>
        <w:spacing w:after="60" w:line="240" w:lineRule="auto"/>
        <w:ind w:right="-992" w:firstLine="1276"/>
        <w:rPr>
          <w:rFonts w:ascii="Garamond" w:eastAsia="Garamond" w:hAnsi="Garamond" w:cs="Garamond"/>
          <w:smallCaps/>
          <w:sz w:val="44"/>
          <w:szCs w:val="44"/>
          <w:lang w:val="es-MX"/>
        </w:rPr>
      </w:pPr>
    </w:p>
    <w:p w14:paraId="3A5EEFA5" w14:textId="16640610" w:rsidR="00302286" w:rsidRPr="00CE35CD" w:rsidRDefault="00A61B66" w:rsidP="002A623B">
      <w:pPr>
        <w:pStyle w:val="Heading2"/>
        <w:spacing w:after="60" w:line="240" w:lineRule="auto"/>
        <w:ind w:left="363" w:right="-992" w:firstLine="709"/>
        <w:rPr>
          <w:rFonts w:ascii="Garamond" w:eastAsia="Garamond" w:hAnsi="Garamond" w:cs="Garamond"/>
          <w:i/>
          <w:smallCaps/>
          <w:sz w:val="44"/>
          <w:szCs w:val="44"/>
        </w:rPr>
      </w:pPr>
      <w:r w:rsidRPr="00CE35CD">
        <w:rPr>
          <w:rFonts w:ascii="Garamond" w:eastAsia="Garamond" w:hAnsi="Garamond" w:cs="Garamond"/>
          <w:i/>
          <w:smallCaps/>
          <w:sz w:val="44"/>
          <w:szCs w:val="44"/>
          <w:lang w:val="es-AR"/>
        </w:rPr>
        <w:t>La comuna mexicana</w:t>
      </w:r>
    </w:p>
    <w:p w14:paraId="671C6D39" w14:textId="23CEB748" w:rsidR="00302286" w:rsidRDefault="00A61B66" w:rsidP="002A623B">
      <w:pPr>
        <w:spacing w:after="60"/>
        <w:ind w:left="363" w:right="-992"/>
        <w:jc w:val="right"/>
        <w:rPr>
          <w:rFonts w:ascii="Garamond" w:eastAsia="Garamond" w:hAnsi="Garamond" w:cs="Garamond"/>
          <w:b/>
          <w:bCs/>
          <w:iCs/>
          <w:smallCaps/>
          <w:sz w:val="36"/>
          <w:szCs w:val="36"/>
        </w:rPr>
      </w:pPr>
      <w:r>
        <w:rPr>
          <w:rFonts w:ascii="Garamond" w:eastAsia="Garamond" w:hAnsi="Garamond" w:cs="Garamond"/>
          <w:b/>
          <w:bCs/>
          <w:iCs/>
          <w:smallCaps/>
          <w:sz w:val="36"/>
          <w:szCs w:val="36"/>
        </w:rPr>
        <w:t xml:space="preserve">Bruno </w:t>
      </w:r>
      <w:proofErr w:type="spellStart"/>
      <w:r>
        <w:rPr>
          <w:rFonts w:ascii="Garamond" w:eastAsia="Garamond" w:hAnsi="Garamond" w:cs="Garamond"/>
          <w:b/>
          <w:bCs/>
          <w:iCs/>
          <w:smallCaps/>
          <w:sz w:val="36"/>
          <w:szCs w:val="36"/>
        </w:rPr>
        <w:t>Bosteels</w:t>
      </w:r>
      <w:proofErr w:type="spellEnd"/>
    </w:p>
    <w:p w14:paraId="48970D35" w14:textId="77777777" w:rsidR="00302286" w:rsidRPr="00677181" w:rsidRDefault="00302286" w:rsidP="002A623B">
      <w:pPr>
        <w:spacing w:after="60"/>
        <w:ind w:left="363" w:right="-992"/>
        <w:jc w:val="right"/>
        <w:rPr>
          <w:rFonts w:eastAsia="Garamond"/>
        </w:rPr>
      </w:pPr>
    </w:p>
    <w:p w14:paraId="65E27A80" w14:textId="38A8F3A9" w:rsidR="00302286" w:rsidRPr="00677181" w:rsidRDefault="0037614D" w:rsidP="002A623B">
      <w:pPr>
        <w:spacing w:after="60"/>
        <w:ind w:left="363" w:right="-992"/>
        <w:jc w:val="right"/>
        <w:rPr>
          <w:rFonts w:ascii="Garamond" w:eastAsia="Garamond" w:hAnsi="Garamond"/>
          <w:sz w:val="30"/>
          <w:szCs w:val="30"/>
        </w:rPr>
      </w:pPr>
      <w:r>
        <w:rPr>
          <w:rFonts w:ascii="Garamond" w:eastAsia="Garamond" w:hAnsi="Garamond"/>
          <w:sz w:val="30"/>
          <w:szCs w:val="30"/>
        </w:rPr>
        <w:t>Akal</w:t>
      </w:r>
      <w:r w:rsidR="00302286">
        <w:rPr>
          <w:rFonts w:ascii="Garamond" w:eastAsia="Garamond" w:hAnsi="Garamond"/>
          <w:sz w:val="30"/>
          <w:szCs w:val="30"/>
        </w:rPr>
        <w:t>,</w:t>
      </w:r>
      <w:r w:rsidR="00302286" w:rsidRPr="00677181">
        <w:rPr>
          <w:rFonts w:ascii="Garamond" w:eastAsia="Garamond" w:hAnsi="Garamond"/>
          <w:sz w:val="30"/>
          <w:szCs w:val="30"/>
        </w:rPr>
        <w:t xml:space="preserve"> 202</w:t>
      </w:r>
      <w:r w:rsidR="00302286">
        <w:rPr>
          <w:rFonts w:ascii="Garamond" w:eastAsia="Garamond" w:hAnsi="Garamond"/>
          <w:sz w:val="30"/>
          <w:szCs w:val="30"/>
        </w:rPr>
        <w:t>2</w:t>
      </w:r>
    </w:p>
    <w:p w14:paraId="3C826EF2" w14:textId="77777777" w:rsidR="00302286" w:rsidRPr="000A0584" w:rsidRDefault="00302286" w:rsidP="002A623B">
      <w:pPr>
        <w:pStyle w:val="Heading2"/>
        <w:spacing w:after="60" w:line="240" w:lineRule="auto"/>
        <w:ind w:left="363" w:right="-992" w:firstLine="709"/>
        <w:rPr>
          <w:rFonts w:ascii="Garamond" w:eastAsia="Garamond" w:hAnsi="Garamond" w:cs="Garamond"/>
          <w:sz w:val="30"/>
          <w:szCs w:val="30"/>
          <w:lang w:val="es-AR"/>
        </w:rPr>
      </w:pPr>
    </w:p>
    <w:p w14:paraId="72E709B6" w14:textId="77777777" w:rsidR="00302286" w:rsidRDefault="00302286" w:rsidP="002A623B">
      <w:pPr>
        <w:pStyle w:val="Heading2"/>
        <w:spacing w:after="60" w:line="240" w:lineRule="auto"/>
        <w:ind w:left="363" w:right="-992"/>
        <w:jc w:val="left"/>
        <w:rPr>
          <w:rFonts w:ascii="Garamond" w:eastAsia="Garamond" w:hAnsi="Garamond" w:cs="Garamond"/>
          <w:sz w:val="30"/>
          <w:szCs w:val="30"/>
        </w:rPr>
      </w:pPr>
    </w:p>
    <w:p w14:paraId="246C761E" w14:textId="385DA0F3" w:rsidR="00302286" w:rsidRPr="009225AF" w:rsidRDefault="00600630" w:rsidP="002A623B">
      <w:pPr>
        <w:tabs>
          <w:tab w:val="left" w:pos="4635"/>
          <w:tab w:val="right" w:pos="7653"/>
        </w:tabs>
        <w:spacing w:after="60"/>
        <w:ind w:left="363" w:right="-992"/>
        <w:jc w:val="right"/>
        <w:rPr>
          <w:rFonts w:ascii="Garamond" w:hAnsi="Garamond"/>
          <w:sz w:val="36"/>
          <w:szCs w:val="36"/>
        </w:rPr>
      </w:pPr>
      <w:r>
        <w:rPr>
          <w:rFonts w:ascii="Garamond" w:hAnsi="Garamond"/>
          <w:sz w:val="36"/>
          <w:szCs w:val="36"/>
        </w:rPr>
        <w:tab/>
      </w:r>
      <w:r>
        <w:rPr>
          <w:rFonts w:ascii="Garamond" w:hAnsi="Garamond"/>
          <w:sz w:val="36"/>
          <w:szCs w:val="36"/>
        </w:rPr>
        <w:tab/>
      </w:r>
      <w:r w:rsidR="002A623B">
        <w:rPr>
          <w:rFonts w:ascii="Garamond" w:hAnsi="Garamond"/>
          <w:sz w:val="36"/>
          <w:szCs w:val="36"/>
        </w:rPr>
        <w:t xml:space="preserve"> </w:t>
      </w:r>
      <w:r w:rsidR="00302286" w:rsidRPr="00677181">
        <w:rPr>
          <w:rFonts w:ascii="Garamond" w:hAnsi="Garamond"/>
          <w:sz w:val="36"/>
          <w:szCs w:val="36"/>
        </w:rPr>
        <w:t>po</w:t>
      </w:r>
      <w:r w:rsidR="00302286">
        <w:rPr>
          <w:rFonts w:ascii="Garamond" w:hAnsi="Garamond"/>
          <w:sz w:val="36"/>
          <w:szCs w:val="36"/>
        </w:rPr>
        <w:t>r</w:t>
      </w:r>
    </w:p>
    <w:p w14:paraId="6FFC1F0F" w14:textId="77777777" w:rsidR="00302286" w:rsidRDefault="00302286" w:rsidP="00302286"/>
    <w:p w14:paraId="36406B33" w14:textId="77777777" w:rsidR="00302286" w:rsidRPr="000A0584" w:rsidRDefault="00302286" w:rsidP="00302286">
      <w:pPr>
        <w:rPr>
          <w:lang w:val="es-ES"/>
        </w:rPr>
      </w:pPr>
    </w:p>
    <w:p w14:paraId="605D5AF8" w14:textId="449866E5" w:rsidR="00302286" w:rsidRDefault="0037614D" w:rsidP="002A623B">
      <w:pPr>
        <w:spacing w:after="60" w:line="240" w:lineRule="auto"/>
        <w:ind w:left="363" w:right="-992" w:firstLine="709"/>
        <w:jc w:val="right"/>
        <w:rPr>
          <w:rFonts w:ascii="Garamond" w:eastAsia="Garamond" w:hAnsi="Garamond" w:cs="Garamond"/>
          <w:b/>
          <w:bCs/>
          <w:iCs/>
          <w:sz w:val="30"/>
          <w:szCs w:val="30"/>
        </w:rPr>
      </w:pPr>
      <w:r>
        <w:rPr>
          <w:rFonts w:ascii="Garamond" w:eastAsia="Garamond" w:hAnsi="Garamond" w:cs="Garamond"/>
          <w:b/>
          <w:bCs/>
          <w:iCs/>
          <w:sz w:val="30"/>
          <w:szCs w:val="30"/>
        </w:rPr>
        <w:t>Ignacio</w:t>
      </w:r>
      <w:r w:rsidR="00A61B66">
        <w:rPr>
          <w:rFonts w:ascii="Garamond" w:eastAsia="Garamond" w:hAnsi="Garamond" w:cs="Garamond"/>
          <w:b/>
          <w:bCs/>
          <w:iCs/>
          <w:sz w:val="30"/>
          <w:szCs w:val="30"/>
        </w:rPr>
        <w:t xml:space="preserve"> Repetto </w:t>
      </w:r>
      <w:r w:rsidR="00302286" w:rsidRPr="001E6F61">
        <w:rPr>
          <w:rFonts w:ascii="Garamond" w:eastAsia="Garamond" w:hAnsi="Garamond" w:cs="Garamond"/>
          <w:b/>
          <w:bCs/>
          <w:iCs/>
          <w:sz w:val="30"/>
          <w:szCs w:val="30"/>
        </w:rPr>
        <w:t xml:space="preserve"> </w:t>
      </w:r>
    </w:p>
    <w:p w14:paraId="7877B4F5" w14:textId="25B04A7E" w:rsidR="00302286" w:rsidRPr="0056725D" w:rsidRDefault="00302286" w:rsidP="002A623B">
      <w:pPr>
        <w:spacing w:after="60" w:line="240" w:lineRule="auto"/>
        <w:ind w:left="363" w:right="-992" w:firstLine="709"/>
        <w:jc w:val="right"/>
        <w:rPr>
          <w:rFonts w:ascii="Agency FB" w:eastAsia="Teko" w:hAnsi="Agency FB" w:cs="Teko"/>
          <w:b/>
          <w:bCs/>
          <w:iCs/>
          <w:spacing w:val="-4"/>
        </w:rPr>
      </w:pPr>
      <w:r w:rsidRPr="0056725D">
        <w:rPr>
          <w:rFonts w:ascii="Agency FB" w:eastAsia="Teko" w:hAnsi="Agency FB" w:cs="Teko"/>
          <w:b/>
          <w:bCs/>
          <w:iCs/>
          <w:spacing w:val="-4"/>
        </w:rPr>
        <w:t>Universidad de Buenos Aires</w:t>
      </w:r>
    </w:p>
    <w:p w14:paraId="2366052E" w14:textId="398EDAF2" w:rsidR="00302286" w:rsidRDefault="00357082" w:rsidP="00F56D31">
      <w:pPr>
        <w:spacing w:after="0" w:line="240" w:lineRule="auto"/>
        <w:ind w:left="363" w:right="-992" w:firstLine="709"/>
        <w:jc w:val="right"/>
        <w:rPr>
          <w:rFonts w:ascii="Garamond" w:hAnsi="Garamond"/>
          <w:i/>
          <w:iCs/>
        </w:rPr>
      </w:pPr>
      <w:r>
        <w:rPr>
          <w:rFonts w:ascii="Garamond" w:hAnsi="Garamond"/>
          <w:i/>
          <w:iCs/>
        </w:rPr>
        <w:t xml:space="preserve">Licenciado en Letras (UBA). Fue becario UBACyT del proyecto </w:t>
      </w:r>
      <w:r>
        <w:rPr>
          <w:rFonts w:ascii="Garamond" w:hAnsi="Garamond"/>
          <w:i/>
          <w:iCs/>
          <w:lang w:val="es-ES"/>
        </w:rPr>
        <w:t>“Archivo y diagrama de lo viviente (siglo</w:t>
      </w:r>
      <w:r w:rsidR="001A3998">
        <w:rPr>
          <w:rFonts w:ascii="Garamond" w:hAnsi="Garamond"/>
          <w:i/>
          <w:iCs/>
          <w:lang w:val="es-ES"/>
        </w:rPr>
        <w:t xml:space="preserve"> XX</w:t>
      </w:r>
      <w:r>
        <w:rPr>
          <w:rFonts w:ascii="Garamond" w:hAnsi="Garamond"/>
          <w:i/>
          <w:iCs/>
          <w:lang w:val="es-ES"/>
        </w:rPr>
        <w:t>)” y actualmente se desempeña como investigador alumno de la Cátedra Libre de Estudios Filológicos Latinoamericanos “Pedro Henríquez Ureña” y como becario del Centro Interuniversitario Nacional.</w:t>
      </w:r>
    </w:p>
    <w:p w14:paraId="1BE17806" w14:textId="2DC65B2C" w:rsidR="00302286" w:rsidRPr="000A0584" w:rsidRDefault="00600630" w:rsidP="00F56D31">
      <w:pPr>
        <w:spacing w:after="0" w:line="240" w:lineRule="auto"/>
        <w:ind w:left="363" w:right="-992" w:firstLine="709"/>
        <w:jc w:val="right"/>
        <w:rPr>
          <w:rFonts w:ascii="Garamond" w:hAnsi="Garamond"/>
          <w:lang w:val="es-ES"/>
        </w:rPr>
      </w:pPr>
      <w:r w:rsidRPr="000A0584">
        <w:rPr>
          <w:rFonts w:ascii="Garamond" w:hAnsi="Garamond"/>
          <w:lang w:val="es-ES"/>
        </w:rPr>
        <w:t>Contacto</w:t>
      </w:r>
      <w:r w:rsidR="00302286" w:rsidRPr="000A0584">
        <w:rPr>
          <w:rFonts w:ascii="Garamond" w:hAnsi="Garamond"/>
          <w:lang w:val="es-ES"/>
        </w:rPr>
        <w:t>:</w:t>
      </w:r>
      <w:r w:rsidR="00A61B66" w:rsidRPr="000A0584">
        <w:rPr>
          <w:rFonts w:ascii="Garamond" w:hAnsi="Garamond"/>
          <w:lang w:val="es-ES"/>
        </w:rPr>
        <w:t xml:space="preserve"> </w:t>
      </w:r>
      <w:hyperlink r:id="rId6" w:history="1">
        <w:r w:rsidR="00A61B66" w:rsidRPr="005C220C">
          <w:rPr>
            <w:rStyle w:val="Hyperlink"/>
            <w:rFonts w:ascii="Garamond" w:hAnsi="Garamond"/>
            <w:shd w:val="clear" w:color="auto" w:fill="FFFFFF"/>
            <w:lang w:val="es-ES"/>
          </w:rPr>
          <w:t>ignaciolrepett</w:t>
        </w:r>
        <w:bookmarkStart w:id="0" w:name="_GoBack"/>
        <w:bookmarkEnd w:id="0"/>
        <w:r w:rsidR="00A61B66" w:rsidRPr="005C220C">
          <w:rPr>
            <w:rStyle w:val="Hyperlink"/>
            <w:rFonts w:ascii="Garamond" w:hAnsi="Garamond"/>
            <w:shd w:val="clear" w:color="auto" w:fill="FFFFFF"/>
            <w:lang w:val="es-ES"/>
          </w:rPr>
          <w:t>o@gmail.com</w:t>
        </w:r>
      </w:hyperlink>
      <w:r w:rsidR="00302286" w:rsidRPr="000A0584">
        <w:rPr>
          <w:rFonts w:ascii="Garamond" w:hAnsi="Garamond"/>
          <w:lang w:val="es-ES"/>
        </w:rPr>
        <w:t xml:space="preserve"> </w:t>
      </w:r>
    </w:p>
    <w:p w14:paraId="33C64E81" w14:textId="2CAE271D" w:rsidR="00302286" w:rsidRPr="000A0584" w:rsidRDefault="00302286" w:rsidP="00F56D31">
      <w:pPr>
        <w:spacing w:after="0" w:line="240" w:lineRule="auto"/>
        <w:ind w:left="363" w:right="-992" w:firstLine="709"/>
        <w:jc w:val="right"/>
        <w:rPr>
          <w:rFonts w:ascii="Garamond" w:hAnsi="Garamond"/>
          <w:lang w:val="pt-BR"/>
        </w:rPr>
      </w:pPr>
      <w:r w:rsidRPr="000A0584">
        <w:rPr>
          <w:rFonts w:ascii="Garamond" w:hAnsi="Garamond"/>
          <w:lang w:val="pt-BR"/>
        </w:rPr>
        <w:t>ORCID:</w:t>
      </w:r>
      <w:r w:rsidR="0037614D" w:rsidRPr="000A0584">
        <w:rPr>
          <w:lang w:val="pt-BR"/>
        </w:rPr>
        <w:t xml:space="preserve"> </w:t>
      </w:r>
      <w:hyperlink r:id="rId7" w:history="1">
        <w:r w:rsidR="005C220C" w:rsidRPr="005C220C">
          <w:rPr>
            <w:rStyle w:val="Hyperlink"/>
            <w:rFonts w:ascii="Garamond" w:hAnsi="Garamond"/>
          </w:rPr>
          <w:t>0000-0003-2480-5519</w:t>
        </w:r>
      </w:hyperlink>
    </w:p>
    <w:p w14:paraId="69141603" w14:textId="060FEDF6" w:rsidR="00473858" w:rsidRPr="000A0584" w:rsidRDefault="00302286" w:rsidP="00F56D31">
      <w:pPr>
        <w:spacing w:after="0" w:line="240" w:lineRule="auto"/>
        <w:ind w:left="363" w:right="-992" w:firstLine="709"/>
        <w:jc w:val="right"/>
        <w:rPr>
          <w:rFonts w:ascii="Garamond" w:hAnsi="Garamond"/>
          <w:lang w:val="pt-BR"/>
        </w:rPr>
      </w:pPr>
      <w:r w:rsidRPr="000A0584">
        <w:rPr>
          <w:rFonts w:ascii="Garamond" w:hAnsi="Garamond"/>
          <w:lang w:val="pt-BR"/>
        </w:rPr>
        <w:t>DOI:</w:t>
      </w:r>
      <w:r w:rsidR="00EC7A59">
        <w:rPr>
          <w:rFonts w:ascii="Garamond" w:hAnsi="Garamond"/>
          <w:lang w:val="pt-BR"/>
        </w:rPr>
        <w:t xml:space="preserve"> </w:t>
      </w:r>
      <w:r w:rsidR="00EC7A59" w:rsidRPr="00EC7A59">
        <w:rPr>
          <w:rFonts w:ascii="Garamond" w:hAnsi="Garamond"/>
          <w:b/>
          <w:bCs/>
        </w:rPr>
        <w:t>10.5281/zenodo.10144376</w:t>
      </w:r>
    </w:p>
    <w:p w14:paraId="081E6BB5" w14:textId="77777777" w:rsidR="00746131" w:rsidRDefault="00746131" w:rsidP="007436C3">
      <w:pPr>
        <w:ind w:firstLine="709"/>
        <w:rPr>
          <w:rFonts w:ascii="Garamond" w:eastAsia="Garamond" w:hAnsi="Garamond" w:cs="Garamond"/>
          <w:i/>
          <w:lang w:val="pt-BR"/>
        </w:rPr>
      </w:pPr>
    </w:p>
    <w:p w14:paraId="2C4A3B31" w14:textId="77777777" w:rsidR="00A86528" w:rsidRPr="000A0584" w:rsidRDefault="00A86528" w:rsidP="00A61B66">
      <w:pPr>
        <w:spacing w:after="0" w:line="240" w:lineRule="auto"/>
        <w:jc w:val="both"/>
        <w:rPr>
          <w:rFonts w:ascii="Garamond" w:eastAsia="Times New Roman" w:hAnsi="Garamond" w:cs="Times New Roman"/>
          <w:color w:val="000000"/>
          <w:sz w:val="26"/>
          <w:szCs w:val="26"/>
          <w:lang w:val="pt-BR" w:eastAsia="es-MX"/>
        </w:rPr>
      </w:pPr>
    </w:p>
    <w:p w14:paraId="0922AA8E" w14:textId="77777777" w:rsidR="00A86528" w:rsidRPr="000A0584" w:rsidRDefault="00A86528" w:rsidP="00A61B66">
      <w:pPr>
        <w:spacing w:after="0" w:line="240" w:lineRule="auto"/>
        <w:jc w:val="both"/>
        <w:rPr>
          <w:rFonts w:ascii="Garamond" w:eastAsia="Times New Roman" w:hAnsi="Garamond" w:cs="Times New Roman"/>
          <w:color w:val="000000"/>
          <w:sz w:val="26"/>
          <w:szCs w:val="26"/>
          <w:lang w:val="pt-BR" w:eastAsia="es-MX"/>
        </w:rPr>
      </w:pPr>
    </w:p>
    <w:p w14:paraId="1DA4A67E" w14:textId="77777777" w:rsidR="00A86528" w:rsidRPr="000A0584" w:rsidRDefault="00A86528" w:rsidP="00A61B66">
      <w:pPr>
        <w:spacing w:after="0" w:line="240" w:lineRule="auto"/>
        <w:jc w:val="both"/>
        <w:rPr>
          <w:rFonts w:ascii="Garamond" w:eastAsia="Times New Roman" w:hAnsi="Garamond" w:cs="Times New Roman"/>
          <w:color w:val="000000"/>
          <w:sz w:val="26"/>
          <w:szCs w:val="26"/>
          <w:lang w:val="pt-BR" w:eastAsia="es-MX"/>
        </w:rPr>
      </w:pPr>
    </w:p>
    <w:p w14:paraId="56C965AB" w14:textId="77777777" w:rsidR="00A86528" w:rsidRPr="000A0584" w:rsidRDefault="00A86528" w:rsidP="00A61B66">
      <w:pPr>
        <w:spacing w:after="0" w:line="240" w:lineRule="auto"/>
        <w:jc w:val="both"/>
        <w:rPr>
          <w:rFonts w:ascii="Garamond" w:eastAsia="Times New Roman" w:hAnsi="Garamond" w:cs="Times New Roman"/>
          <w:color w:val="000000"/>
          <w:sz w:val="26"/>
          <w:szCs w:val="26"/>
          <w:lang w:val="pt-BR" w:eastAsia="es-MX"/>
        </w:rPr>
      </w:pPr>
    </w:p>
    <w:p w14:paraId="5DDE4503" w14:textId="77777777" w:rsidR="00A86528" w:rsidRPr="000A0584" w:rsidRDefault="00A86528" w:rsidP="00A61B66">
      <w:pPr>
        <w:spacing w:after="0" w:line="240" w:lineRule="auto"/>
        <w:jc w:val="both"/>
        <w:rPr>
          <w:rFonts w:ascii="Garamond" w:eastAsia="Times New Roman" w:hAnsi="Garamond" w:cs="Times New Roman"/>
          <w:color w:val="000000"/>
          <w:sz w:val="26"/>
          <w:szCs w:val="26"/>
          <w:lang w:val="pt-BR" w:eastAsia="es-MX"/>
        </w:rPr>
      </w:pPr>
    </w:p>
    <w:p w14:paraId="3F81D43E" w14:textId="074E31EF" w:rsidR="00A61B66" w:rsidRPr="00A61B66" w:rsidRDefault="00A61B66" w:rsidP="00A61B66">
      <w:pPr>
        <w:spacing w:after="0" w:line="240" w:lineRule="auto"/>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 xml:space="preserve">El autor de </w:t>
      </w:r>
      <w:r w:rsidRPr="00A61B66">
        <w:rPr>
          <w:rFonts w:ascii="Garamond" w:eastAsia="Times New Roman" w:hAnsi="Garamond" w:cs="Times New Roman"/>
          <w:i/>
          <w:iCs/>
          <w:color w:val="000000"/>
          <w:sz w:val="26"/>
          <w:szCs w:val="26"/>
          <w:lang w:eastAsia="es-MX"/>
        </w:rPr>
        <w:t>La comuna mexicana</w:t>
      </w:r>
      <w:r w:rsidRPr="00A61B66">
        <w:rPr>
          <w:rFonts w:ascii="Garamond" w:eastAsia="Times New Roman" w:hAnsi="Garamond" w:cs="Times New Roman"/>
          <w:color w:val="000000"/>
          <w:sz w:val="26"/>
          <w:szCs w:val="26"/>
          <w:lang w:eastAsia="es-MX"/>
        </w:rPr>
        <w:t xml:space="preserve"> no acude a los trabajos de Foucault ni a las conceptualizaciones de Derrida, y es posible que la palabra “archivo” se encuentre mencionada contadas veces a lo largo del libro, pero, sin embargo, no resulta arriesgado decir que su intervención propone una lectura de corte arqueológico sobre dos series de archivos que pretende intersectar. La primera, minada de vacíos, corresponde a los archivos de los alzamientos populares en México, que atraviesan la historia del territorio, en cuyo recorrido se enlazan los levantamientos indígenas durante la conquista, la Revolución mexicana y las protestas ciudadanas vividas en los primeros años de la década del 2000; la segunda, apenas menos extensa, concierne al vasto acervo de publicaciones, escritos, cartas y apuntes reunidos bajo la firma de Marx, y al largo desfile de personas que lo estudiaron y editaron, tanto en Europa como en América Latina.</w:t>
      </w:r>
    </w:p>
    <w:p w14:paraId="72B82969" w14:textId="70AE6322" w:rsidR="00A61B66" w:rsidRPr="00A61B66" w:rsidRDefault="00A61B66" w:rsidP="00A61B66">
      <w:pPr>
        <w:spacing w:after="0" w:line="240" w:lineRule="auto"/>
        <w:ind w:firstLine="720"/>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 xml:space="preserve">A contrapelo de la </w:t>
      </w:r>
      <w:r w:rsidRPr="00A61B66">
        <w:rPr>
          <w:rFonts w:ascii="Garamond" w:eastAsia="Times New Roman" w:hAnsi="Garamond" w:cs="Times New Roman"/>
          <w:i/>
          <w:iCs/>
          <w:color w:val="000000"/>
          <w:sz w:val="26"/>
          <w:szCs w:val="26"/>
          <w:lang w:eastAsia="es-MX"/>
        </w:rPr>
        <w:t>ratio archivística</w:t>
      </w:r>
      <w:r w:rsidRPr="00A61B66">
        <w:rPr>
          <w:rFonts w:ascii="Garamond" w:eastAsia="Times New Roman" w:hAnsi="Garamond" w:cs="Times New Roman"/>
          <w:color w:val="000000"/>
          <w:sz w:val="26"/>
          <w:szCs w:val="26"/>
          <w:lang w:eastAsia="es-MX"/>
        </w:rPr>
        <w:t xml:space="preserve"> que instituye jerarquías e impone clasificaciones de sentidos, Bruno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interroga ambos ordenamientos a partir del concepto de “comuna”, de modo que se acerca a la perspectiva que Andrés Maximiliano Tello ha llamado “anarchivista”. Según el filósofo chileno, precisamente, las experiencias comuneras y, en particular, la de la comuna de Oaxaca creada en el 2006, comparten el mismo horizonte y resultan paradigmáticas de los nuevos movimientos políticos que interrumpen la máquina social del archivo estatal:</w:t>
      </w:r>
    </w:p>
    <w:p w14:paraId="1E1987A6" w14:textId="77777777" w:rsidR="00A61B66" w:rsidRPr="00A61B66" w:rsidRDefault="00A61B66" w:rsidP="00A61B66">
      <w:pPr>
        <w:spacing w:after="0" w:line="240" w:lineRule="auto"/>
        <w:rPr>
          <w:rFonts w:ascii="Garamond" w:eastAsia="Times New Roman" w:hAnsi="Garamond" w:cs="Times New Roman"/>
          <w:color w:val="000000"/>
          <w:sz w:val="26"/>
          <w:szCs w:val="26"/>
          <w:lang w:eastAsia="es-MX"/>
        </w:rPr>
      </w:pPr>
    </w:p>
    <w:p w14:paraId="5475B15D" w14:textId="6D1E0BCE" w:rsidR="00A61B66" w:rsidRPr="00A61B66" w:rsidRDefault="00A61B66" w:rsidP="000A0584">
      <w:pPr>
        <w:spacing w:after="0" w:line="240" w:lineRule="auto"/>
        <w:ind w:left="567"/>
        <w:jc w:val="both"/>
        <w:rPr>
          <w:rFonts w:ascii="Garamond" w:eastAsia="Times New Roman" w:hAnsi="Garamond" w:cs="Times New Roman"/>
          <w:color w:val="000000"/>
          <w:sz w:val="24"/>
          <w:szCs w:val="24"/>
          <w:lang w:eastAsia="es-MX"/>
        </w:rPr>
      </w:pPr>
      <w:r w:rsidRPr="00A61B66">
        <w:rPr>
          <w:rFonts w:ascii="Garamond" w:eastAsia="Times New Roman" w:hAnsi="Garamond" w:cs="Times New Roman"/>
          <w:color w:val="000000"/>
          <w:sz w:val="24"/>
          <w:szCs w:val="24"/>
          <w:lang w:eastAsia="es-MX"/>
        </w:rPr>
        <w:t>Los ensamblajes anarchivistas tienden hacia una organización que no jerarquiza los órganos del cuerpo, es decir, que no reproduce las jerarquías del orden policial del archivo, desactivando sus tecnologías de clasificación e identificación. En lugar de esto, los ensamblajes anarchivistas expresan una potencia creativa de soportes comunes para el auto-gobierno de inscripción de los afectos, los cuerpos y sus registros, generando simultáneamente nuevos modos de subjetivación política, tecnologías de re-distribución expansiva y una gestión colectiva de los recursos (2018:</w:t>
      </w:r>
      <w:r w:rsidR="003C69B9">
        <w:rPr>
          <w:rFonts w:ascii="Garamond" w:eastAsia="Times New Roman" w:hAnsi="Garamond" w:cs="Times New Roman"/>
          <w:color w:val="000000"/>
          <w:sz w:val="24"/>
          <w:szCs w:val="24"/>
          <w:lang w:eastAsia="es-MX"/>
        </w:rPr>
        <w:t xml:space="preserve"> </w:t>
      </w:r>
      <w:r w:rsidRPr="00A61B66">
        <w:rPr>
          <w:rFonts w:ascii="Garamond" w:eastAsia="Times New Roman" w:hAnsi="Garamond" w:cs="Times New Roman"/>
          <w:color w:val="000000"/>
          <w:sz w:val="24"/>
          <w:szCs w:val="24"/>
          <w:lang w:eastAsia="es-MX"/>
        </w:rPr>
        <w:t>289)</w:t>
      </w:r>
      <w:r w:rsidR="004505F5">
        <w:rPr>
          <w:rFonts w:ascii="Garamond" w:eastAsia="Times New Roman" w:hAnsi="Garamond" w:cs="Times New Roman"/>
          <w:color w:val="000000"/>
          <w:sz w:val="24"/>
          <w:szCs w:val="24"/>
          <w:lang w:eastAsia="es-MX"/>
        </w:rPr>
        <w:t>.</w:t>
      </w:r>
    </w:p>
    <w:p w14:paraId="42221041" w14:textId="77777777" w:rsidR="00A61B66" w:rsidRPr="00A61B66" w:rsidRDefault="00A61B66" w:rsidP="00A61B66">
      <w:pPr>
        <w:spacing w:after="0" w:line="240" w:lineRule="auto"/>
        <w:rPr>
          <w:rFonts w:ascii="Garamond" w:eastAsia="Times New Roman" w:hAnsi="Garamond" w:cs="Times New Roman"/>
          <w:color w:val="000000"/>
          <w:sz w:val="26"/>
          <w:szCs w:val="26"/>
          <w:lang w:eastAsia="es-MX"/>
        </w:rPr>
      </w:pPr>
    </w:p>
    <w:p w14:paraId="2FD674CA" w14:textId="77777777" w:rsidR="00A61B66" w:rsidRPr="00A61B66" w:rsidRDefault="00A61B66" w:rsidP="00A61B66">
      <w:pPr>
        <w:spacing w:after="0" w:line="240" w:lineRule="auto"/>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 xml:space="preserve">Esta forma de manifestación política pasó desatendida en los dos libros anteriores de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quien protestó la “melancolía” de las izquierdas en </w:t>
      </w:r>
      <w:r w:rsidRPr="00A61B66">
        <w:rPr>
          <w:rFonts w:ascii="Garamond" w:eastAsia="Times New Roman" w:hAnsi="Garamond" w:cs="Times New Roman"/>
          <w:i/>
          <w:iCs/>
          <w:color w:val="000000"/>
          <w:sz w:val="26"/>
          <w:szCs w:val="26"/>
          <w:lang w:eastAsia="es-MX"/>
        </w:rPr>
        <w:t xml:space="preserve">La actualidad del comunismo </w:t>
      </w:r>
      <w:r w:rsidRPr="00A61B66">
        <w:rPr>
          <w:rFonts w:ascii="Garamond" w:eastAsia="Times New Roman" w:hAnsi="Garamond" w:cs="Times New Roman"/>
          <w:color w:val="000000"/>
          <w:sz w:val="26"/>
          <w:szCs w:val="26"/>
          <w:lang w:eastAsia="es-MX"/>
        </w:rPr>
        <w:t xml:space="preserve">(2011), y rechazó la sentida “obsolescencia” del pensamiento de los filósofos de la sospecha en </w:t>
      </w:r>
      <w:r w:rsidRPr="00A61B66">
        <w:rPr>
          <w:rFonts w:ascii="Garamond" w:eastAsia="Times New Roman" w:hAnsi="Garamond" w:cs="Times New Roman"/>
          <w:i/>
          <w:iCs/>
          <w:color w:val="000000"/>
          <w:sz w:val="26"/>
          <w:szCs w:val="26"/>
          <w:lang w:eastAsia="es-MX"/>
        </w:rPr>
        <w:t xml:space="preserve">Marx y Freud en América Latina. Política, psicoanálisis y religión en tiempos de terror </w:t>
      </w:r>
      <w:r w:rsidRPr="00A61B66">
        <w:rPr>
          <w:rFonts w:ascii="Garamond" w:eastAsia="Times New Roman" w:hAnsi="Garamond" w:cs="Times New Roman"/>
          <w:color w:val="000000"/>
          <w:sz w:val="26"/>
          <w:szCs w:val="26"/>
          <w:lang w:eastAsia="es-MX"/>
        </w:rPr>
        <w:t xml:space="preserve">(2012). Casi una década después, en este nuevo volumen,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se propone adelantar una historia y una teoría de las experiencias comuneras que tuvieron lugar en el territorio mexicano. </w:t>
      </w:r>
    </w:p>
    <w:p w14:paraId="514B47CB" w14:textId="77777777" w:rsidR="00A61B66" w:rsidRPr="00A61B66" w:rsidRDefault="00A61B66" w:rsidP="00A61B66">
      <w:pPr>
        <w:spacing w:after="0" w:line="240" w:lineRule="auto"/>
        <w:ind w:firstLine="720"/>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lastRenderedPageBreak/>
        <w:t xml:space="preserve">La tesis que guía y orienta la lectura, presentada en el prefacio titulado “La otra comuna”, es que la tradición de estas revueltas, en gran medida invisibilizadas y ausentes en las historias de las insurrecciones occidentales de los </w:t>
      </w:r>
      <w:r w:rsidRPr="00A61B66">
        <w:rPr>
          <w:rFonts w:ascii="Garamond" w:eastAsia="Times New Roman" w:hAnsi="Garamond" w:cs="Times New Roman"/>
          <w:i/>
          <w:iCs/>
          <w:color w:val="000000"/>
          <w:sz w:val="26"/>
          <w:szCs w:val="26"/>
          <w:lang w:eastAsia="es-MX"/>
        </w:rPr>
        <w:t>sin parte</w:t>
      </w:r>
      <w:r w:rsidRPr="00A61B66">
        <w:rPr>
          <w:rFonts w:ascii="Garamond" w:eastAsia="Times New Roman" w:hAnsi="Garamond" w:cs="Times New Roman"/>
          <w:color w:val="000000"/>
          <w:sz w:val="26"/>
          <w:szCs w:val="26"/>
          <w:lang w:eastAsia="es-MX"/>
        </w:rPr>
        <w:t xml:space="preserve">, permite elaborar una reflexión sobre la potencia de lo “común” y de los “comunes”. De lo que se trata es, justamente, de desplazar la centralidad de la experiencia de la Comuna de París de 1871, hasta ahora el acontecimiento comunero por antonomasia, debido a los incansables exámenes hechos por Marx y sus posteriores exégetas. A partir de una ambiciosa revisión filológica de las traducciones de la </w:t>
      </w:r>
      <w:r w:rsidRPr="00A61B66">
        <w:rPr>
          <w:rFonts w:ascii="Garamond" w:eastAsia="Times New Roman" w:hAnsi="Garamond" w:cs="Times New Roman"/>
          <w:i/>
          <w:iCs/>
          <w:color w:val="000000"/>
          <w:sz w:val="26"/>
          <w:szCs w:val="26"/>
          <w:lang w:eastAsia="es-MX"/>
        </w:rPr>
        <w:t xml:space="preserve">Historia general de las cosas de la Nueva España </w:t>
      </w:r>
      <w:r w:rsidRPr="00A61B66">
        <w:rPr>
          <w:rFonts w:ascii="Garamond" w:eastAsia="Times New Roman" w:hAnsi="Garamond" w:cs="Times New Roman"/>
          <w:color w:val="000000"/>
          <w:sz w:val="26"/>
          <w:szCs w:val="26"/>
          <w:lang w:eastAsia="es-MX"/>
        </w:rPr>
        <w:t xml:space="preserve">de Bernardo de Sahagún y la </w:t>
      </w:r>
      <w:r w:rsidRPr="00A61B66">
        <w:rPr>
          <w:rFonts w:ascii="Garamond" w:eastAsia="Times New Roman" w:hAnsi="Garamond" w:cs="Times New Roman"/>
          <w:i/>
          <w:iCs/>
          <w:color w:val="000000"/>
          <w:sz w:val="26"/>
          <w:szCs w:val="26"/>
          <w:lang w:eastAsia="es-MX"/>
        </w:rPr>
        <w:t>Breve y sumaria relación de los señores de la Nueva España</w:t>
      </w:r>
      <w:r w:rsidRPr="00A61B66">
        <w:rPr>
          <w:rFonts w:ascii="Garamond" w:eastAsia="Times New Roman" w:hAnsi="Garamond" w:cs="Times New Roman"/>
          <w:color w:val="000000"/>
          <w:sz w:val="26"/>
          <w:szCs w:val="26"/>
          <w:lang w:eastAsia="es-MX"/>
        </w:rPr>
        <w:t xml:space="preserve"> del fray Alonso de Zorita, el teórico belga sugiere que las resistencias indígenas a la conquista de Tenochtitlán en 1521 podrían pensarse como precursoras insospechadas de su contraparte francesa. Las expresiones “calpulli” o “</w:t>
      </w:r>
      <w:proofErr w:type="spellStart"/>
      <w:r w:rsidRPr="00A61B66">
        <w:rPr>
          <w:rFonts w:ascii="Garamond" w:eastAsia="Times New Roman" w:hAnsi="Garamond" w:cs="Times New Roman"/>
          <w:color w:val="000000"/>
          <w:sz w:val="26"/>
          <w:szCs w:val="26"/>
          <w:lang w:eastAsia="es-MX"/>
        </w:rPr>
        <w:t>calpulco</w:t>
      </w:r>
      <w:proofErr w:type="spellEnd"/>
      <w:r w:rsidRPr="00A61B66">
        <w:rPr>
          <w:rFonts w:ascii="Garamond" w:eastAsia="Times New Roman" w:hAnsi="Garamond" w:cs="Times New Roman"/>
          <w:color w:val="000000"/>
          <w:sz w:val="26"/>
          <w:szCs w:val="26"/>
          <w:lang w:eastAsia="es-MX"/>
        </w:rPr>
        <w:t>” presentes en ambos textos podrían interpretarse como “la casa común” o “la casa de la comunidad” y se referirían a formas de organización social, fundadas en un manejo colectivo de la tierra y de los recursos que ya se encontraban en erosión. </w:t>
      </w:r>
    </w:p>
    <w:p w14:paraId="500E0B7D" w14:textId="77777777" w:rsidR="00A61B66" w:rsidRPr="00A61B66" w:rsidRDefault="00A61B66" w:rsidP="00A61B66">
      <w:pPr>
        <w:spacing w:after="0" w:line="240" w:lineRule="auto"/>
        <w:ind w:firstLine="720"/>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 xml:space="preserve">Inversamente,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pretende desobstruir la lectura de episodios comuneros europeos y señalar la “simultaneidad de lo no-simultáneo” entre los acontecimientos. Así sucedió con las Comunidades de Castilla que, desde la publicación de </w:t>
      </w:r>
      <w:r w:rsidRPr="00A61B66">
        <w:rPr>
          <w:rFonts w:ascii="Garamond" w:eastAsia="Times New Roman" w:hAnsi="Garamond" w:cs="Times New Roman"/>
          <w:i/>
          <w:iCs/>
          <w:color w:val="000000"/>
          <w:sz w:val="26"/>
          <w:szCs w:val="26"/>
          <w:lang w:eastAsia="es-MX"/>
        </w:rPr>
        <w:t>El manifiesto comunista</w:t>
      </w:r>
      <w:r w:rsidRPr="00A61B66">
        <w:rPr>
          <w:rFonts w:ascii="Garamond" w:eastAsia="Times New Roman" w:hAnsi="Garamond" w:cs="Times New Roman"/>
          <w:color w:val="000000"/>
          <w:sz w:val="26"/>
          <w:szCs w:val="26"/>
          <w:lang w:eastAsia="es-MX"/>
        </w:rPr>
        <w:t xml:space="preserve"> en 1848, y al menos hasta 1871, fueron desestimadas por Marx al ser entendidas como antecedente de las sublevaciones burguesas. Relegado a la transición entre la época medieval y el período capitalista pues, el concepto de comuna quedó estancado. La intención de encontrar una nueva riqueza teórica y práctica a partir de este choque de tradiciones, sin embargo, no está libre de rechazos, enunciados desde distintas posiciones y disciplinas, con las que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dialoga y discute. Filósofos de cuño marxista como Alain </w:t>
      </w:r>
      <w:proofErr w:type="spellStart"/>
      <w:r w:rsidRPr="00A61B66">
        <w:rPr>
          <w:rFonts w:ascii="Garamond" w:eastAsia="Times New Roman" w:hAnsi="Garamond" w:cs="Times New Roman"/>
          <w:color w:val="000000"/>
          <w:sz w:val="26"/>
          <w:szCs w:val="26"/>
          <w:lang w:eastAsia="es-MX"/>
        </w:rPr>
        <w:t>Badiou</w:t>
      </w:r>
      <w:proofErr w:type="spellEnd"/>
      <w:r w:rsidRPr="00A61B66">
        <w:rPr>
          <w:rFonts w:ascii="Garamond" w:eastAsia="Times New Roman" w:hAnsi="Garamond" w:cs="Times New Roman"/>
          <w:color w:val="000000"/>
          <w:sz w:val="26"/>
          <w:szCs w:val="26"/>
          <w:lang w:eastAsia="es-MX"/>
        </w:rPr>
        <w:t xml:space="preserve"> y Toni </w:t>
      </w:r>
      <w:proofErr w:type="spellStart"/>
      <w:r w:rsidRPr="00A61B66">
        <w:rPr>
          <w:rFonts w:ascii="Garamond" w:eastAsia="Times New Roman" w:hAnsi="Garamond" w:cs="Times New Roman"/>
          <w:color w:val="000000"/>
          <w:sz w:val="26"/>
          <w:szCs w:val="26"/>
          <w:lang w:eastAsia="es-MX"/>
        </w:rPr>
        <w:t>Negri</w:t>
      </w:r>
      <w:proofErr w:type="spellEnd"/>
      <w:r w:rsidRPr="00A61B66">
        <w:rPr>
          <w:rFonts w:ascii="Garamond" w:eastAsia="Times New Roman" w:hAnsi="Garamond" w:cs="Times New Roman"/>
          <w:color w:val="000000"/>
          <w:sz w:val="26"/>
          <w:szCs w:val="26"/>
          <w:lang w:eastAsia="es-MX"/>
        </w:rPr>
        <w:t xml:space="preserve"> se encuentran reacios a encontrar estrategias políticas creativas en experiencias de regímenes distantes que mal se conjugan con el estadio tardío del capitalismo actual; antropólogos como Roger Bartra y Friedrich Katz ponen reparos a la hora de asociar los </w:t>
      </w:r>
      <w:r w:rsidRPr="00A61B66">
        <w:rPr>
          <w:rFonts w:ascii="Garamond" w:eastAsia="Times New Roman" w:hAnsi="Garamond" w:cs="Times New Roman"/>
          <w:i/>
          <w:iCs/>
          <w:color w:val="000000"/>
          <w:sz w:val="26"/>
          <w:szCs w:val="26"/>
          <w:lang w:eastAsia="es-MX"/>
        </w:rPr>
        <w:t>calpulli</w:t>
      </w:r>
      <w:r w:rsidRPr="00A61B66">
        <w:rPr>
          <w:rFonts w:ascii="Garamond" w:eastAsia="Times New Roman" w:hAnsi="Garamond" w:cs="Times New Roman"/>
          <w:color w:val="000000"/>
          <w:sz w:val="26"/>
          <w:szCs w:val="26"/>
          <w:lang w:eastAsia="es-MX"/>
        </w:rPr>
        <w:t xml:space="preserve"> a la teoría marxista. También se incluye en esta línea Walter </w:t>
      </w:r>
      <w:proofErr w:type="spellStart"/>
      <w:r w:rsidRPr="00A61B66">
        <w:rPr>
          <w:rFonts w:ascii="Garamond" w:eastAsia="Times New Roman" w:hAnsi="Garamond" w:cs="Times New Roman"/>
          <w:color w:val="000000"/>
          <w:sz w:val="26"/>
          <w:szCs w:val="26"/>
          <w:lang w:eastAsia="es-MX"/>
        </w:rPr>
        <w:t>Mignolo</w:t>
      </w:r>
      <w:proofErr w:type="spellEnd"/>
      <w:r w:rsidRPr="00A61B66">
        <w:rPr>
          <w:rFonts w:ascii="Garamond" w:eastAsia="Times New Roman" w:hAnsi="Garamond" w:cs="Times New Roman"/>
          <w:color w:val="000000"/>
          <w:sz w:val="26"/>
          <w:szCs w:val="26"/>
          <w:lang w:eastAsia="es-MX"/>
        </w:rPr>
        <w:t xml:space="preserve"> quien distingue lo comunal como opción decolonial imposible de reconciliar con el proyecto de las izquierdas europeas.</w:t>
      </w:r>
    </w:p>
    <w:p w14:paraId="45DBA4F5" w14:textId="77777777" w:rsidR="00A61B66" w:rsidRPr="00A61B66" w:rsidRDefault="00A61B66" w:rsidP="00A61B66">
      <w:pPr>
        <w:spacing w:after="0" w:line="240" w:lineRule="auto"/>
        <w:ind w:firstLine="720"/>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 xml:space="preserve">No obstante esto, lo que se lee en </w:t>
      </w:r>
      <w:r w:rsidRPr="00A61B66">
        <w:rPr>
          <w:rFonts w:ascii="Garamond" w:eastAsia="Times New Roman" w:hAnsi="Garamond" w:cs="Times New Roman"/>
          <w:i/>
          <w:iCs/>
          <w:color w:val="000000"/>
          <w:sz w:val="26"/>
          <w:szCs w:val="26"/>
          <w:lang w:eastAsia="es-MX"/>
        </w:rPr>
        <w:t xml:space="preserve">La comuna mexicana </w:t>
      </w:r>
      <w:r w:rsidRPr="00A61B66">
        <w:rPr>
          <w:rFonts w:ascii="Garamond" w:eastAsia="Times New Roman" w:hAnsi="Garamond" w:cs="Times New Roman"/>
          <w:color w:val="000000"/>
          <w:sz w:val="26"/>
          <w:szCs w:val="26"/>
          <w:lang w:eastAsia="es-MX"/>
        </w:rPr>
        <w:t xml:space="preserve">es un compromiso ético y político con el presente. En la introducción, titulada “Más allá del memorial de agravios”,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subraya la urgencia de una reflexión acerca de las experiencias comuneras cuando se detiene a considerar el contexto político contemporáneo de México, marcado por el autoritarismo estatal y el crecimiento del crimen organizado. Pesa, sobre todas las cosas, la </w:t>
      </w:r>
      <w:r w:rsidRPr="00A61B66">
        <w:rPr>
          <w:rFonts w:ascii="Garamond" w:eastAsia="Times New Roman" w:hAnsi="Garamond" w:cs="Times New Roman"/>
          <w:color w:val="000000"/>
          <w:sz w:val="26"/>
          <w:szCs w:val="26"/>
          <w:lang w:eastAsia="es-MX"/>
        </w:rPr>
        <w:lastRenderedPageBreak/>
        <w:t xml:space="preserve">sombra de Ayotzinapa y la desaparición forzada de 43 estudiantes de una escuela normal rural el 26 y 27 de septiembre de 2014. Este constituye uno de los hechos más infames del terror vivido en los últimos años, pero pasa a asimilarse, sin más, a la larga historia de exterminios y derrotas sufridas por parte de las luchas sociales. En este sentido, aunque contempla la obra de Cristina Rivera Garza o de David Huerta, que reactivan la memoria del dolor de quienes han sido asesinados,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advierte sobre la intensificación de la victimización y desconfía de sus efectos. El “memorial de agravios”, como lo entiende el autor, habría comenzado con los </w:t>
      </w:r>
      <w:proofErr w:type="spellStart"/>
      <w:r w:rsidRPr="00A61B66">
        <w:rPr>
          <w:rFonts w:ascii="Garamond" w:eastAsia="Times New Roman" w:hAnsi="Garamond" w:cs="Times New Roman"/>
          <w:i/>
          <w:iCs/>
          <w:color w:val="000000"/>
          <w:sz w:val="26"/>
          <w:szCs w:val="26"/>
          <w:lang w:eastAsia="es-MX"/>
        </w:rPr>
        <w:t>icnocuícatl</w:t>
      </w:r>
      <w:proofErr w:type="spellEnd"/>
      <w:r w:rsidRPr="00A61B66">
        <w:rPr>
          <w:rFonts w:ascii="Garamond" w:eastAsia="Times New Roman" w:hAnsi="Garamond" w:cs="Times New Roman"/>
          <w:i/>
          <w:iCs/>
          <w:color w:val="000000"/>
          <w:sz w:val="26"/>
          <w:szCs w:val="26"/>
          <w:lang w:eastAsia="es-MX"/>
        </w:rPr>
        <w:t xml:space="preserve">, </w:t>
      </w:r>
      <w:r w:rsidRPr="00A61B66">
        <w:rPr>
          <w:rFonts w:ascii="Garamond" w:eastAsia="Times New Roman" w:hAnsi="Garamond" w:cs="Times New Roman"/>
          <w:color w:val="000000"/>
          <w:sz w:val="26"/>
          <w:szCs w:val="26"/>
          <w:lang w:eastAsia="es-MX"/>
        </w:rPr>
        <w:t xml:space="preserve">los cantos tristes aztecas o con los registros de Fray Bartolomé de las Casas, cuyo resultado ha sido, en cierta medida, paralizante. Apoyándose en las indagaciones de Wendy Brown, entonces, se cuestiona la potencia emancipadora de las políticas identitarias que se inscriben en el dolor. Más bien, en este trabajo,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apuesta por recoger el “recuerdo de los días de felicidad colectiva cuya memoria ha sido obliterada bajo el peso del trauma” (104).</w:t>
      </w:r>
    </w:p>
    <w:p w14:paraId="36C570BE" w14:textId="09CAC4FD" w:rsidR="00A61B66" w:rsidRPr="00A61B66" w:rsidRDefault="00A61B66" w:rsidP="00AC1727">
      <w:pPr>
        <w:spacing w:after="0" w:line="240" w:lineRule="auto"/>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ab/>
        <w:t xml:space="preserve">El cuerpo del libro se encuentra dividido en dos partes: una histórica, “La comuna en México”, más extensa, y otra teórica, “México en Marx, Marx en México”. </w:t>
      </w:r>
      <w:r w:rsidR="00FF7AE7">
        <w:rPr>
          <w:rFonts w:ascii="Garamond" w:eastAsia="Times New Roman" w:hAnsi="Garamond" w:cs="Times New Roman"/>
          <w:color w:val="000000"/>
          <w:sz w:val="26"/>
          <w:szCs w:val="26"/>
          <w:lang w:eastAsia="es-MX"/>
        </w:rPr>
        <w:t>En l</w:t>
      </w:r>
      <w:r w:rsidRPr="00A61B66">
        <w:rPr>
          <w:rFonts w:ascii="Garamond" w:eastAsia="Times New Roman" w:hAnsi="Garamond" w:cs="Times New Roman"/>
          <w:color w:val="000000"/>
          <w:sz w:val="26"/>
          <w:szCs w:val="26"/>
          <w:lang w:eastAsia="es-MX"/>
        </w:rPr>
        <w:t>os capítulos iniciales del primer segmento</w:t>
      </w:r>
      <w:r w:rsidR="00FF7AE7">
        <w:rPr>
          <w:rFonts w:ascii="Garamond" w:eastAsia="Times New Roman" w:hAnsi="Garamond" w:cs="Times New Roman"/>
          <w:color w:val="000000"/>
          <w:sz w:val="26"/>
          <w:szCs w:val="26"/>
          <w:lang w:eastAsia="es-MX"/>
        </w:rPr>
        <w:t>, que</w:t>
      </w:r>
      <w:r w:rsidRPr="00A61B66">
        <w:rPr>
          <w:rFonts w:ascii="Garamond" w:eastAsia="Times New Roman" w:hAnsi="Garamond" w:cs="Times New Roman"/>
          <w:color w:val="000000"/>
          <w:sz w:val="26"/>
          <w:szCs w:val="26"/>
          <w:lang w:eastAsia="es-MX"/>
        </w:rPr>
        <w:t xml:space="preserve"> se titulan “Razones de un desencuentro” y </w:t>
      </w:r>
      <w:r w:rsidRPr="00453B95">
        <w:rPr>
          <w:rFonts w:ascii="Garamond" w:eastAsia="Times New Roman" w:hAnsi="Garamond" w:cs="Times New Roman"/>
          <w:color w:val="000000"/>
          <w:sz w:val="26"/>
          <w:szCs w:val="26"/>
          <w:lang w:eastAsia="es-MX"/>
        </w:rPr>
        <w:t>“La forma política al fin descubierta”,</w:t>
      </w:r>
      <w:r w:rsidRPr="00A61B66">
        <w:rPr>
          <w:rFonts w:ascii="Garamond" w:eastAsia="Times New Roman" w:hAnsi="Garamond" w:cs="Times New Roman"/>
          <w:color w:val="000000"/>
          <w:sz w:val="26"/>
          <w:szCs w:val="26"/>
          <w:lang w:eastAsia="es-MX"/>
        </w:rPr>
        <w:t xml:space="preserve">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atribuye el desencuentro entre la Revolución mexicana y el comunismo a un </w:t>
      </w:r>
      <w:r w:rsidRPr="00AC1727">
        <w:rPr>
          <w:rFonts w:ascii="Garamond" w:eastAsia="Times New Roman" w:hAnsi="Garamond" w:cs="Times New Roman"/>
          <w:color w:val="000000"/>
          <w:sz w:val="26"/>
          <w:szCs w:val="26"/>
          <w:lang w:eastAsia="es-MX"/>
        </w:rPr>
        <w:t>desfasaje tanto cronológico como ideológico</w:t>
      </w:r>
      <w:r w:rsidRPr="00A61B66">
        <w:rPr>
          <w:rFonts w:ascii="Garamond" w:eastAsia="Times New Roman" w:hAnsi="Garamond" w:cs="Times New Roman"/>
          <w:color w:val="000000"/>
          <w:sz w:val="26"/>
          <w:szCs w:val="26"/>
          <w:lang w:eastAsia="es-MX"/>
        </w:rPr>
        <w:t>. De manera paradigmática, señala que Villa</w:t>
      </w:r>
      <w:r w:rsidR="001A3998">
        <w:rPr>
          <w:rFonts w:ascii="Garamond" w:eastAsia="Times New Roman" w:hAnsi="Garamond" w:cs="Times New Roman"/>
          <w:color w:val="000000"/>
          <w:sz w:val="26"/>
          <w:szCs w:val="26"/>
          <w:lang w:eastAsia="es-MX"/>
        </w:rPr>
        <w:t>,</w:t>
      </w:r>
      <w:r w:rsidRPr="00A61B66">
        <w:rPr>
          <w:rFonts w:ascii="Garamond" w:eastAsia="Times New Roman" w:hAnsi="Garamond" w:cs="Times New Roman"/>
          <w:color w:val="000000"/>
          <w:sz w:val="26"/>
          <w:szCs w:val="26"/>
          <w:lang w:eastAsia="es-MX"/>
        </w:rPr>
        <w:t xml:space="preserve"> </w:t>
      </w:r>
      <w:r w:rsidR="001A3998">
        <w:rPr>
          <w:rFonts w:ascii="Garamond" w:eastAsia="Times New Roman" w:hAnsi="Garamond" w:cs="Times New Roman"/>
          <w:color w:val="000000"/>
          <w:sz w:val="26"/>
          <w:szCs w:val="26"/>
          <w:lang w:eastAsia="es-MX"/>
        </w:rPr>
        <w:t>al igual que</w:t>
      </w:r>
      <w:r w:rsidR="001A3998" w:rsidRPr="00A61B66">
        <w:rPr>
          <w:rFonts w:ascii="Garamond" w:eastAsia="Times New Roman" w:hAnsi="Garamond" w:cs="Times New Roman"/>
          <w:color w:val="000000"/>
          <w:sz w:val="26"/>
          <w:szCs w:val="26"/>
          <w:lang w:eastAsia="es-MX"/>
        </w:rPr>
        <w:t xml:space="preserve"> </w:t>
      </w:r>
      <w:r w:rsidRPr="00A61B66">
        <w:rPr>
          <w:rFonts w:ascii="Garamond" w:eastAsia="Times New Roman" w:hAnsi="Garamond" w:cs="Times New Roman"/>
          <w:color w:val="000000"/>
          <w:sz w:val="26"/>
          <w:szCs w:val="26"/>
          <w:lang w:eastAsia="es-MX"/>
        </w:rPr>
        <w:t>Zapata</w:t>
      </w:r>
      <w:r w:rsidR="001A3998">
        <w:rPr>
          <w:rFonts w:ascii="Garamond" w:eastAsia="Times New Roman" w:hAnsi="Garamond" w:cs="Times New Roman"/>
          <w:color w:val="000000"/>
          <w:sz w:val="26"/>
          <w:szCs w:val="26"/>
          <w:lang w:eastAsia="es-MX"/>
        </w:rPr>
        <w:t>,</w:t>
      </w:r>
      <w:r w:rsidRPr="00A61B66">
        <w:rPr>
          <w:rFonts w:ascii="Garamond" w:eastAsia="Times New Roman" w:hAnsi="Garamond" w:cs="Times New Roman"/>
          <w:color w:val="000000"/>
          <w:sz w:val="26"/>
          <w:szCs w:val="26"/>
          <w:lang w:eastAsia="es-MX"/>
        </w:rPr>
        <w:t xml:space="preserve"> ya estaban derrotados para 1919, año en que se funda el Partido Comunista del país. Consecuentemente, quienes se dedicaron a estudiar la historia de la Revolución mexicana no se interesaron por la historia del comunismo en México y viceversa. En las oportunidades en las que se las abordó a la par, al contrastarla con el caso de los soviets rusos, la experiencia mexicana fue interpretada como una versión defectuosa o fallida. Por otra parte,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adjudica los motivos del desencuentro ideológico a un enfrentamiento irresuelto entre el comunismo y el anarquismo y a la adopción de conceptos y de estrategias de lucha que no se condicen con la singularidad de la realidad mexicana.</w:t>
      </w:r>
    </w:p>
    <w:p w14:paraId="4F82FE11" w14:textId="38179A8C" w:rsidR="00A61B66" w:rsidRPr="00AC1727" w:rsidRDefault="00A61B66" w:rsidP="00AC1727">
      <w:pPr>
        <w:spacing w:after="0"/>
        <w:jc w:val="both"/>
        <w:rPr>
          <w:rFonts w:ascii="Garamond" w:hAnsi="Garamond"/>
          <w:sz w:val="26"/>
          <w:szCs w:val="26"/>
          <w:lang w:val="es-ES"/>
        </w:rPr>
      </w:pPr>
      <w:r w:rsidRPr="00A61B66">
        <w:rPr>
          <w:rFonts w:ascii="Garamond" w:eastAsia="Times New Roman" w:hAnsi="Garamond" w:cs="Times New Roman"/>
          <w:color w:val="000000"/>
          <w:sz w:val="26"/>
          <w:szCs w:val="26"/>
          <w:lang w:eastAsia="es-MX"/>
        </w:rPr>
        <w:t xml:space="preserve">El tercer apartado, “Fragmentos de una historia de la comuna en México”, traza un recorrido por las experiencias comuneras en el territorio mexicano que </w:t>
      </w:r>
      <w:r w:rsidR="001A3998">
        <w:rPr>
          <w:rFonts w:ascii="Garamond" w:eastAsia="Times New Roman" w:hAnsi="Garamond" w:cs="Times New Roman"/>
          <w:color w:val="000000"/>
          <w:sz w:val="26"/>
          <w:szCs w:val="26"/>
          <w:lang w:eastAsia="es-MX"/>
        </w:rPr>
        <w:t xml:space="preserve">el autor </w:t>
      </w:r>
      <w:r w:rsidRPr="00A61B66">
        <w:rPr>
          <w:rFonts w:ascii="Garamond" w:eastAsia="Times New Roman" w:hAnsi="Garamond" w:cs="Times New Roman"/>
          <w:color w:val="000000"/>
          <w:sz w:val="26"/>
          <w:szCs w:val="26"/>
          <w:lang w:eastAsia="es-MX"/>
        </w:rPr>
        <w:t xml:space="preserve">reconstruye prestando atención a acontecimientos que no necesariamente se pensaron como tales, pero que, de acuerdo con el criterio poroso que adelanta, merecen ser constelados en el mismo cielo. Ingresan en esta genealogía la colonia de Topolobampo (1872-1893), dirigida por Albert K. Owen, la experiencia de </w:t>
      </w:r>
      <w:proofErr w:type="spellStart"/>
      <w:r w:rsidRPr="00A61B66">
        <w:rPr>
          <w:rFonts w:ascii="Garamond" w:eastAsia="Times New Roman" w:hAnsi="Garamond" w:cs="Times New Roman"/>
          <w:color w:val="000000"/>
          <w:sz w:val="26"/>
          <w:szCs w:val="26"/>
          <w:lang w:eastAsia="es-MX"/>
        </w:rPr>
        <w:t>Edendale</w:t>
      </w:r>
      <w:proofErr w:type="spellEnd"/>
      <w:r w:rsidRPr="00A61B66">
        <w:rPr>
          <w:rFonts w:ascii="Garamond" w:eastAsia="Times New Roman" w:hAnsi="Garamond" w:cs="Times New Roman"/>
          <w:color w:val="000000"/>
          <w:sz w:val="26"/>
          <w:szCs w:val="26"/>
          <w:lang w:eastAsia="es-MX"/>
        </w:rPr>
        <w:t xml:space="preserve"> (1914-1916) llevada adelante por los seguidores de Ricardo Flores Magón al noroeste de Los Ángeles, el Acapulco </w:t>
      </w:r>
      <w:r w:rsidRPr="00A61B66">
        <w:rPr>
          <w:rFonts w:ascii="Garamond" w:eastAsia="Times New Roman" w:hAnsi="Garamond" w:cs="Times New Roman"/>
          <w:color w:val="000000"/>
          <w:sz w:val="26"/>
          <w:szCs w:val="26"/>
          <w:lang w:eastAsia="es-MX"/>
        </w:rPr>
        <w:lastRenderedPageBreak/>
        <w:t xml:space="preserve">gobernado por Juan Ranulfo Escudero (1919-1923), la Colonia Proletaria Rubén Jaramillo (1973) y el levantamiento neozapatista en Chiapas (1994). La recepción de la Comuna de París en los círculos políticos mexicanos entre los años 1871 y 1877, sin embargo, constituye el primer hito. Ocupa un lugar central del desarrollo la creación del periódico </w:t>
      </w:r>
      <w:r w:rsidRPr="00A61B66">
        <w:rPr>
          <w:rFonts w:ascii="Garamond" w:eastAsia="Times New Roman" w:hAnsi="Garamond" w:cs="Times New Roman"/>
          <w:i/>
          <w:iCs/>
          <w:color w:val="000000"/>
          <w:sz w:val="26"/>
          <w:szCs w:val="26"/>
          <w:lang w:eastAsia="es-MX"/>
        </w:rPr>
        <w:t>La Comuna</w:t>
      </w:r>
      <w:r w:rsidRPr="00A61B66">
        <w:rPr>
          <w:rFonts w:ascii="Garamond" w:eastAsia="Times New Roman" w:hAnsi="Garamond" w:cs="Times New Roman"/>
          <w:color w:val="000000"/>
          <w:sz w:val="26"/>
          <w:szCs w:val="26"/>
          <w:lang w:eastAsia="es-MX"/>
        </w:rPr>
        <w:t xml:space="preserve"> en 1874, renombrado al poco tiempo como </w:t>
      </w:r>
      <w:r w:rsidRPr="00A61B66">
        <w:rPr>
          <w:rFonts w:ascii="Garamond" w:eastAsia="Times New Roman" w:hAnsi="Garamond" w:cs="Times New Roman"/>
          <w:i/>
          <w:iCs/>
          <w:color w:val="000000"/>
          <w:sz w:val="26"/>
          <w:szCs w:val="26"/>
          <w:lang w:eastAsia="es-MX"/>
        </w:rPr>
        <w:t>La Comuna Mexicana</w:t>
      </w:r>
      <w:r w:rsidRPr="00A61B66">
        <w:rPr>
          <w:rFonts w:ascii="Garamond" w:eastAsia="Times New Roman" w:hAnsi="Garamond" w:cs="Times New Roman"/>
          <w:color w:val="000000"/>
          <w:sz w:val="26"/>
          <w:szCs w:val="26"/>
          <w:lang w:eastAsia="es-MX"/>
        </w:rPr>
        <w:t xml:space="preserve">, órgano que pretendía hacerse eco de los episodios recientes y expandir su potencia por toda América. Asimismo, la llamada Comuna de Morelos (1914-1915), organizada por los zapatistas, inaugura “períodos de latencia” de </w:t>
      </w:r>
      <w:proofErr w:type="spellStart"/>
      <w:r w:rsidRPr="00A61B66">
        <w:rPr>
          <w:rFonts w:ascii="Garamond" w:eastAsia="Times New Roman" w:hAnsi="Garamond" w:cs="Times New Roman"/>
          <w:color w:val="000000"/>
          <w:sz w:val="26"/>
          <w:szCs w:val="26"/>
          <w:lang w:eastAsia="es-MX"/>
        </w:rPr>
        <w:t>comunalismo</w:t>
      </w:r>
      <w:proofErr w:type="spellEnd"/>
      <w:r w:rsidRPr="00A61B66">
        <w:rPr>
          <w:rFonts w:ascii="Garamond" w:eastAsia="Times New Roman" w:hAnsi="Garamond" w:cs="Times New Roman"/>
          <w:color w:val="000000"/>
          <w:sz w:val="26"/>
          <w:szCs w:val="26"/>
          <w:lang w:eastAsia="es-MX"/>
        </w:rPr>
        <w:t xml:space="preserve"> en ese territorio con sucesivas reactivaciones hasta la década del sesenta. Más contemporáneamente, incorpora a la mencionada revuelta de Oaxaca (2006), en la que, por primera vez, sus impulsores autodenominan a su iniciativa como “comuna”, y el </w:t>
      </w:r>
      <w:proofErr w:type="spellStart"/>
      <w:r w:rsidRPr="00A61B66">
        <w:rPr>
          <w:rFonts w:ascii="Garamond" w:eastAsia="Times New Roman" w:hAnsi="Garamond" w:cs="Times New Roman"/>
          <w:color w:val="000000"/>
          <w:sz w:val="26"/>
          <w:szCs w:val="26"/>
          <w:lang w:eastAsia="es-MX"/>
        </w:rPr>
        <w:t>autositio</w:t>
      </w:r>
      <w:proofErr w:type="spellEnd"/>
      <w:r w:rsidRPr="00A61B66">
        <w:rPr>
          <w:rFonts w:ascii="Garamond" w:eastAsia="Times New Roman" w:hAnsi="Garamond" w:cs="Times New Roman"/>
          <w:color w:val="000000"/>
          <w:sz w:val="26"/>
          <w:szCs w:val="26"/>
          <w:lang w:eastAsia="es-MX"/>
        </w:rPr>
        <w:t xml:space="preserve"> de la municipalidad de Cherán (2011). El breve capítulo que sigue, titulado “Lecciones desde Lecumberri”, funciona como una coda del anterior en la que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propone que el propio Estado mexicano engendró de manera inintencional una suerte de “</w:t>
      </w:r>
      <w:proofErr w:type="spellStart"/>
      <w:r w:rsidRPr="00A61B66">
        <w:rPr>
          <w:rFonts w:ascii="Garamond" w:eastAsia="Times New Roman" w:hAnsi="Garamond" w:cs="Times New Roman"/>
          <w:color w:val="000000"/>
          <w:sz w:val="26"/>
          <w:szCs w:val="26"/>
          <w:lang w:eastAsia="es-MX"/>
        </w:rPr>
        <w:t>metacomuna</w:t>
      </w:r>
      <w:proofErr w:type="spellEnd"/>
      <w:r w:rsidRPr="00A61B66">
        <w:rPr>
          <w:rFonts w:ascii="Garamond" w:eastAsia="Times New Roman" w:hAnsi="Garamond" w:cs="Times New Roman"/>
          <w:color w:val="000000"/>
          <w:sz w:val="26"/>
          <w:szCs w:val="26"/>
          <w:lang w:eastAsia="es-MX"/>
        </w:rPr>
        <w:t xml:space="preserve">”. </w:t>
      </w:r>
      <w:r w:rsidR="00F7175F" w:rsidRPr="00AA2C87">
        <w:rPr>
          <w:rFonts w:ascii="Garamond" w:hAnsi="Garamond"/>
          <w:sz w:val="26"/>
          <w:szCs w:val="26"/>
          <w:lang w:val="es-ES"/>
        </w:rPr>
        <w:t>El Palacio</w:t>
      </w:r>
      <w:r w:rsidR="00F7175F">
        <w:rPr>
          <w:rFonts w:ascii="Garamond" w:hAnsi="Garamond"/>
          <w:sz w:val="26"/>
          <w:szCs w:val="26"/>
          <w:lang w:val="es-ES"/>
        </w:rPr>
        <w:t xml:space="preserve"> de</w:t>
      </w:r>
      <w:r w:rsidR="00F7175F" w:rsidRPr="00AA2C87">
        <w:rPr>
          <w:rFonts w:ascii="Garamond" w:hAnsi="Garamond"/>
          <w:sz w:val="26"/>
          <w:szCs w:val="26"/>
          <w:lang w:val="es-ES"/>
        </w:rPr>
        <w:t xml:space="preserve"> Lecumberri, la prisión para detenidos políticos que funcionó hasta 1976 y en la que coincidieron y se asociaron figuras como </w:t>
      </w:r>
      <w:r w:rsidR="00F7175F" w:rsidRPr="00AA2C87">
        <w:rPr>
          <w:rFonts w:ascii="Garamond" w:eastAsia="Times New Roman" w:hAnsi="Garamond" w:cs="Times New Roman"/>
          <w:color w:val="000000"/>
          <w:sz w:val="26"/>
          <w:szCs w:val="26"/>
          <w:lang w:eastAsia="es-MX"/>
        </w:rPr>
        <w:t xml:space="preserve">Adolfo Gilly, José Revueltas, Gastón García Cantú, </w:t>
      </w:r>
      <w:r w:rsidR="00870AD9">
        <w:rPr>
          <w:rFonts w:ascii="Garamond" w:eastAsia="Times New Roman" w:hAnsi="Garamond" w:cs="Times New Roman"/>
          <w:color w:val="000000"/>
          <w:sz w:val="26"/>
          <w:szCs w:val="26"/>
          <w:lang w:val="es-ES" w:eastAsia="es-MX"/>
        </w:rPr>
        <w:t>junto</w:t>
      </w:r>
      <w:r w:rsidR="00F7175F" w:rsidRPr="00AA2C87">
        <w:rPr>
          <w:rFonts w:ascii="Garamond" w:eastAsia="Times New Roman" w:hAnsi="Garamond" w:cs="Times New Roman"/>
          <w:color w:val="000000"/>
          <w:sz w:val="26"/>
          <w:szCs w:val="26"/>
          <w:lang w:eastAsia="es-MX"/>
        </w:rPr>
        <w:t xml:space="preserve"> con una amplia red de activistas, escritoras y militantes mujeres</w:t>
      </w:r>
      <w:r w:rsidR="00F7175F" w:rsidRPr="00AA2C87">
        <w:rPr>
          <w:rFonts w:ascii="Garamond" w:eastAsia="Times New Roman" w:hAnsi="Garamond" w:cs="Times New Roman"/>
          <w:color w:val="000000"/>
          <w:sz w:val="26"/>
          <w:szCs w:val="26"/>
          <w:lang w:val="es-ES" w:eastAsia="es-MX"/>
        </w:rPr>
        <w:t xml:space="preserve">, habría servido de laboratorio para pensar la comuna. De hecho, </w:t>
      </w:r>
      <w:r w:rsidR="00F7175F">
        <w:rPr>
          <w:rFonts w:ascii="Garamond" w:eastAsia="Times New Roman" w:hAnsi="Garamond" w:cs="Times New Roman"/>
          <w:color w:val="000000"/>
          <w:sz w:val="26"/>
          <w:szCs w:val="26"/>
          <w:lang w:val="es-ES" w:eastAsia="es-MX"/>
        </w:rPr>
        <w:t>producto de su estadía allí</w:t>
      </w:r>
      <w:r w:rsidR="00F7175F" w:rsidRPr="00AA2C87">
        <w:rPr>
          <w:rFonts w:ascii="Garamond" w:eastAsia="Times New Roman" w:hAnsi="Garamond" w:cs="Times New Roman"/>
          <w:color w:val="000000"/>
          <w:sz w:val="26"/>
          <w:szCs w:val="26"/>
          <w:lang w:eastAsia="es-MX"/>
        </w:rPr>
        <w:t xml:space="preserve"> es que Gilly escribe </w:t>
      </w:r>
      <w:r w:rsidR="00F7175F" w:rsidRPr="00AA2C87">
        <w:rPr>
          <w:rFonts w:ascii="Garamond" w:eastAsia="Times New Roman" w:hAnsi="Garamond" w:cs="Times New Roman"/>
          <w:i/>
          <w:iCs/>
          <w:color w:val="000000"/>
          <w:sz w:val="26"/>
          <w:szCs w:val="26"/>
          <w:lang w:eastAsia="es-MX"/>
        </w:rPr>
        <w:t xml:space="preserve">La revolución interrumpida </w:t>
      </w:r>
      <w:r w:rsidR="00F7175F" w:rsidRPr="00AA2C87">
        <w:rPr>
          <w:rFonts w:ascii="Garamond" w:eastAsia="Times New Roman" w:hAnsi="Garamond" w:cs="Times New Roman"/>
          <w:color w:val="000000"/>
          <w:sz w:val="26"/>
          <w:szCs w:val="26"/>
          <w:lang w:eastAsia="es-MX"/>
        </w:rPr>
        <w:t xml:space="preserve">(1968), obra desde la que </w:t>
      </w:r>
      <w:proofErr w:type="spellStart"/>
      <w:r w:rsidR="00F7175F" w:rsidRPr="00AA2C87">
        <w:rPr>
          <w:rFonts w:ascii="Garamond" w:eastAsia="Times New Roman" w:hAnsi="Garamond" w:cs="Times New Roman"/>
          <w:color w:val="000000"/>
          <w:sz w:val="26"/>
          <w:szCs w:val="26"/>
          <w:lang w:eastAsia="es-MX"/>
        </w:rPr>
        <w:t>Bosteels</w:t>
      </w:r>
      <w:proofErr w:type="spellEnd"/>
      <w:r w:rsidR="00F7175F" w:rsidRPr="00AA2C87">
        <w:rPr>
          <w:rFonts w:ascii="Garamond" w:eastAsia="Times New Roman" w:hAnsi="Garamond" w:cs="Times New Roman"/>
          <w:color w:val="000000"/>
          <w:sz w:val="26"/>
          <w:szCs w:val="26"/>
          <w:lang w:eastAsia="es-MX"/>
        </w:rPr>
        <w:t xml:space="preserve"> parte y con la que dialoga y polemiza a lo largo de su trabajo.</w:t>
      </w:r>
    </w:p>
    <w:p w14:paraId="6F59B23B" w14:textId="5E35269F" w:rsidR="00A61B66" w:rsidRPr="00A61B66" w:rsidRDefault="00A61B66" w:rsidP="00A61B66">
      <w:pPr>
        <w:spacing w:after="0" w:line="240" w:lineRule="auto"/>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ab/>
        <w:t xml:space="preserve">La segunda sección del libro se inicia con el capítulo “Crítica de la división internacional del trabajo intelectual” en la que </w:t>
      </w:r>
      <w:r w:rsidR="001A3998">
        <w:rPr>
          <w:rFonts w:ascii="Garamond" w:eastAsia="Times New Roman" w:hAnsi="Garamond" w:cs="Times New Roman"/>
          <w:color w:val="000000"/>
          <w:sz w:val="26"/>
          <w:szCs w:val="26"/>
          <w:lang w:eastAsia="es-MX"/>
        </w:rPr>
        <w:t>el autor</w:t>
      </w:r>
      <w:r w:rsidR="001A3998" w:rsidRPr="00A61B66">
        <w:rPr>
          <w:rFonts w:ascii="Garamond" w:eastAsia="Times New Roman" w:hAnsi="Garamond" w:cs="Times New Roman"/>
          <w:color w:val="000000"/>
          <w:sz w:val="26"/>
          <w:szCs w:val="26"/>
          <w:lang w:eastAsia="es-MX"/>
        </w:rPr>
        <w:t xml:space="preserve"> </w:t>
      </w:r>
      <w:r w:rsidRPr="00A61B66">
        <w:rPr>
          <w:rFonts w:ascii="Garamond" w:eastAsia="Times New Roman" w:hAnsi="Garamond" w:cs="Times New Roman"/>
          <w:color w:val="000000"/>
          <w:sz w:val="26"/>
          <w:szCs w:val="26"/>
          <w:lang w:eastAsia="es-MX"/>
        </w:rPr>
        <w:t xml:space="preserve">propone regresar a textos menos transitados de Marx, como sus </w:t>
      </w:r>
      <w:r w:rsidRPr="00A61B66">
        <w:rPr>
          <w:rFonts w:ascii="Garamond" w:eastAsia="Times New Roman" w:hAnsi="Garamond" w:cs="Times New Roman"/>
          <w:i/>
          <w:iCs/>
          <w:color w:val="000000"/>
          <w:sz w:val="26"/>
          <w:szCs w:val="26"/>
          <w:lang w:eastAsia="es-MX"/>
        </w:rPr>
        <w:t xml:space="preserve">Apuntes etnológicos </w:t>
      </w:r>
      <w:r w:rsidRPr="00A61B66">
        <w:rPr>
          <w:rFonts w:ascii="Garamond" w:eastAsia="Times New Roman" w:hAnsi="Garamond" w:cs="Times New Roman"/>
          <w:color w:val="000000"/>
          <w:sz w:val="26"/>
          <w:szCs w:val="26"/>
          <w:lang w:eastAsia="es-MX"/>
        </w:rPr>
        <w:t xml:space="preserve">(1880-1882), y pensar posibles articulaciones entre la estrategia de la “comuna” en su acepción moderna y europea con la comunalidad y la comunidad, formas de organización americanas de tradición indígena. Para avanzar esta propuesta,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advierte sobre tres divisiones en el campo de la investigación y de la producción de conocimiento que identifica como compartimientos estancos. Así, son puestas en cuestión las relaciones entre el canon y la </w:t>
      </w:r>
      <w:proofErr w:type="spellStart"/>
      <w:r w:rsidRPr="00A61B66">
        <w:rPr>
          <w:rFonts w:ascii="Garamond" w:eastAsia="Times New Roman" w:hAnsi="Garamond" w:cs="Times New Roman"/>
          <w:color w:val="000000"/>
          <w:sz w:val="26"/>
          <w:szCs w:val="26"/>
          <w:lang w:eastAsia="es-MX"/>
        </w:rPr>
        <w:t>marginalia</w:t>
      </w:r>
      <w:proofErr w:type="spellEnd"/>
      <w:r w:rsidRPr="00A61B66">
        <w:rPr>
          <w:rFonts w:ascii="Garamond" w:eastAsia="Times New Roman" w:hAnsi="Garamond" w:cs="Times New Roman"/>
          <w:color w:val="000000"/>
          <w:sz w:val="26"/>
          <w:szCs w:val="26"/>
          <w:lang w:eastAsia="es-MX"/>
        </w:rPr>
        <w:t xml:space="preserve"> de la producción de Marx, editada en buena medida por lectores latinoamericanos a partir de los años setenta, las tensiones entre las reflexión teórica y la investigación empírica, y la falta de valor epistemológico que se les otorga a espacios no occidentales. Para sortear estos inconvenientes,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opera una serie de “cortocircuitos” en la relación entre el propio Marx y México, e intenta ir más allá de las lecturas </w:t>
      </w:r>
      <w:r w:rsidRPr="00A61B66">
        <w:rPr>
          <w:rFonts w:ascii="Garamond" w:eastAsia="Times New Roman" w:hAnsi="Garamond" w:cs="Times New Roman"/>
          <w:color w:val="000000"/>
          <w:sz w:val="26"/>
          <w:szCs w:val="26"/>
          <w:lang w:eastAsia="es-MX"/>
        </w:rPr>
        <w:lastRenderedPageBreak/>
        <w:t>que se hicieron de los textos marxistas en el país a lo largo del siglo XX, centrándose en escritos posteriores.</w:t>
      </w:r>
    </w:p>
    <w:p w14:paraId="5F177C64" w14:textId="7C90BF34" w:rsidR="00A61B66" w:rsidRPr="00A61B66" w:rsidRDefault="00A61B66" w:rsidP="00A61B66">
      <w:pPr>
        <w:spacing w:after="0" w:line="240" w:lineRule="auto"/>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ab/>
        <w:t xml:space="preserve">De esto trata el apartado siguiente, “Del </w:t>
      </w:r>
      <w:r w:rsidRPr="00A61B66">
        <w:rPr>
          <w:rFonts w:ascii="Garamond" w:eastAsia="Times New Roman" w:hAnsi="Garamond" w:cs="Times New Roman"/>
          <w:i/>
          <w:iCs/>
          <w:color w:val="000000"/>
          <w:sz w:val="26"/>
          <w:szCs w:val="26"/>
          <w:lang w:eastAsia="es-MX"/>
        </w:rPr>
        <w:t xml:space="preserve">New York </w:t>
      </w:r>
      <w:proofErr w:type="spellStart"/>
      <w:r w:rsidRPr="00A61B66">
        <w:rPr>
          <w:rFonts w:ascii="Garamond" w:eastAsia="Times New Roman" w:hAnsi="Garamond" w:cs="Times New Roman"/>
          <w:i/>
          <w:iCs/>
          <w:color w:val="000000"/>
          <w:sz w:val="26"/>
          <w:szCs w:val="26"/>
          <w:lang w:eastAsia="es-MX"/>
        </w:rPr>
        <w:t>Daily</w:t>
      </w:r>
      <w:proofErr w:type="spellEnd"/>
      <w:r w:rsidRPr="00A61B66">
        <w:rPr>
          <w:rFonts w:ascii="Garamond" w:eastAsia="Times New Roman" w:hAnsi="Garamond" w:cs="Times New Roman"/>
          <w:i/>
          <w:iCs/>
          <w:color w:val="000000"/>
          <w:sz w:val="26"/>
          <w:szCs w:val="26"/>
          <w:lang w:eastAsia="es-MX"/>
        </w:rPr>
        <w:t xml:space="preserve"> </w:t>
      </w:r>
      <w:proofErr w:type="spellStart"/>
      <w:r w:rsidRPr="00A61B66">
        <w:rPr>
          <w:rFonts w:ascii="Garamond" w:eastAsia="Times New Roman" w:hAnsi="Garamond" w:cs="Times New Roman"/>
          <w:i/>
          <w:iCs/>
          <w:color w:val="000000"/>
          <w:sz w:val="26"/>
          <w:szCs w:val="26"/>
          <w:lang w:eastAsia="es-MX"/>
        </w:rPr>
        <w:t>Tribune</w:t>
      </w:r>
      <w:proofErr w:type="spellEnd"/>
      <w:r w:rsidRPr="00A61B66">
        <w:rPr>
          <w:rFonts w:ascii="Garamond" w:eastAsia="Times New Roman" w:hAnsi="Garamond" w:cs="Times New Roman"/>
          <w:color w:val="000000"/>
          <w:sz w:val="26"/>
          <w:szCs w:val="26"/>
          <w:lang w:eastAsia="es-MX"/>
        </w:rPr>
        <w:t xml:space="preserve"> a los </w:t>
      </w:r>
      <w:proofErr w:type="spellStart"/>
      <w:r w:rsidRPr="00A61B66">
        <w:rPr>
          <w:rFonts w:ascii="Garamond" w:eastAsia="Times New Roman" w:hAnsi="Garamond" w:cs="Times New Roman"/>
          <w:i/>
          <w:iCs/>
          <w:color w:val="000000"/>
          <w:sz w:val="26"/>
          <w:szCs w:val="26"/>
          <w:lang w:eastAsia="es-MX"/>
        </w:rPr>
        <w:t>Grundrisse</w:t>
      </w:r>
      <w:proofErr w:type="spellEnd"/>
      <w:r w:rsidRPr="00A61B66">
        <w:rPr>
          <w:rFonts w:ascii="Garamond" w:eastAsia="Times New Roman" w:hAnsi="Garamond" w:cs="Times New Roman"/>
          <w:color w:val="000000"/>
          <w:sz w:val="26"/>
          <w:szCs w:val="26"/>
          <w:lang w:eastAsia="es-MX"/>
        </w:rPr>
        <w:t xml:space="preserve">”, en el que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primero se ocupa del Marx que publica artículos en los diarios neoyorkinos y guarda prejuicios sistemáticos acerca del pueblo mexicano, en línea con una visión hegeliana de la historia. La investigación sobre América Latina conduce a Marx a desarrollar conceptos sobre los modos de producción precapitalistas que, según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lo apartan de la visión evolutiva y teleológica que imponía, como condición necesaria para alcanzar el comunismo, la modernización y un previo estadio capitalista. De las anotaciones que realiza en los </w:t>
      </w:r>
      <w:proofErr w:type="spellStart"/>
      <w:r w:rsidRPr="00A61B66">
        <w:rPr>
          <w:rFonts w:ascii="Garamond" w:eastAsia="Times New Roman" w:hAnsi="Garamond" w:cs="Times New Roman"/>
          <w:i/>
          <w:iCs/>
          <w:color w:val="000000"/>
          <w:sz w:val="26"/>
          <w:szCs w:val="26"/>
          <w:lang w:eastAsia="es-MX"/>
        </w:rPr>
        <w:t>Grundrisse</w:t>
      </w:r>
      <w:proofErr w:type="spellEnd"/>
      <w:r w:rsidRPr="00A61B66">
        <w:rPr>
          <w:rFonts w:ascii="Garamond" w:eastAsia="Times New Roman" w:hAnsi="Garamond" w:cs="Times New Roman"/>
          <w:i/>
          <w:iCs/>
          <w:color w:val="000000"/>
          <w:sz w:val="26"/>
          <w:szCs w:val="26"/>
          <w:lang w:eastAsia="es-MX"/>
        </w:rPr>
        <w:t xml:space="preserve"> </w:t>
      </w:r>
      <w:r w:rsidRPr="00A61B66">
        <w:rPr>
          <w:rFonts w:ascii="Garamond" w:eastAsia="Times New Roman" w:hAnsi="Garamond" w:cs="Times New Roman"/>
          <w:color w:val="000000"/>
          <w:sz w:val="26"/>
          <w:szCs w:val="26"/>
          <w:lang w:eastAsia="es-MX"/>
        </w:rPr>
        <w:t xml:space="preserve">(1857-1858), ofreciendo un esquema clasificatorio de los distintos tipos de sociedades entre las cuales contempla a la azteca y a la incaica, </w:t>
      </w:r>
      <w:r w:rsidR="001A3998">
        <w:rPr>
          <w:rFonts w:ascii="Garamond" w:eastAsia="Times New Roman" w:hAnsi="Garamond" w:cs="Times New Roman"/>
          <w:color w:val="000000"/>
          <w:sz w:val="26"/>
          <w:szCs w:val="26"/>
          <w:lang w:eastAsia="es-MX"/>
        </w:rPr>
        <w:t>el autor</w:t>
      </w:r>
      <w:r w:rsidR="001A3998" w:rsidRPr="00A61B66">
        <w:rPr>
          <w:rFonts w:ascii="Garamond" w:eastAsia="Times New Roman" w:hAnsi="Garamond" w:cs="Times New Roman"/>
          <w:color w:val="000000"/>
          <w:sz w:val="26"/>
          <w:szCs w:val="26"/>
          <w:lang w:eastAsia="es-MX"/>
        </w:rPr>
        <w:t xml:space="preserve"> </w:t>
      </w:r>
      <w:r w:rsidRPr="00A61B66">
        <w:rPr>
          <w:rFonts w:ascii="Garamond" w:eastAsia="Times New Roman" w:hAnsi="Garamond" w:cs="Times New Roman"/>
          <w:color w:val="000000"/>
          <w:sz w:val="26"/>
          <w:szCs w:val="26"/>
          <w:lang w:eastAsia="es-MX"/>
        </w:rPr>
        <w:t>destaca la premisa metodológica que lo guía. En este sentido, el método material histórico de Marx, que se sirve de trabajos antropológicos y etnológicos, no solo permite desbaratar la ilusoria naturalidad del capitalismo, al desplegar la violencia de la acumulación originaria, sino que además vuelve su atención sobre ese resto de forma de vida a partir de la cual se podría aún imaginar otro futuro. </w:t>
      </w:r>
    </w:p>
    <w:p w14:paraId="230BE504" w14:textId="3FFC6090" w:rsidR="00A61B66" w:rsidRPr="00A61B66" w:rsidRDefault="00A61B66" w:rsidP="00A61B66">
      <w:pPr>
        <w:spacing w:after="0" w:line="240" w:lineRule="auto"/>
        <w:ind w:firstLine="720"/>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 xml:space="preserve">El acercamiento a la obra de Marx se desarrolla con toda su potencia en el último capítulo, “El Marx tardío o la vía mexicana: De los </w:t>
      </w:r>
      <w:r w:rsidRPr="00A61B66">
        <w:rPr>
          <w:rFonts w:ascii="Garamond" w:eastAsia="Times New Roman" w:hAnsi="Garamond" w:cs="Times New Roman"/>
          <w:i/>
          <w:iCs/>
          <w:color w:val="000000"/>
          <w:sz w:val="26"/>
          <w:szCs w:val="26"/>
          <w:lang w:eastAsia="es-MX"/>
        </w:rPr>
        <w:t>Apuntes etnológicos</w:t>
      </w:r>
      <w:r w:rsidRPr="00A61B66">
        <w:rPr>
          <w:rFonts w:ascii="Garamond" w:eastAsia="Times New Roman" w:hAnsi="Garamond" w:cs="Times New Roman"/>
          <w:color w:val="000000"/>
          <w:sz w:val="26"/>
          <w:szCs w:val="26"/>
          <w:lang w:eastAsia="es-MX"/>
        </w:rPr>
        <w:t xml:space="preserve"> a la correspondencia con Vera </w:t>
      </w:r>
      <w:proofErr w:type="spellStart"/>
      <w:r w:rsidRPr="00A61B66">
        <w:rPr>
          <w:rFonts w:ascii="Garamond" w:eastAsia="Times New Roman" w:hAnsi="Garamond" w:cs="Times New Roman"/>
          <w:color w:val="000000"/>
          <w:sz w:val="26"/>
          <w:szCs w:val="26"/>
          <w:lang w:eastAsia="es-MX"/>
        </w:rPr>
        <w:t>Zasúlich</w:t>
      </w:r>
      <w:proofErr w:type="spellEnd"/>
      <w:r w:rsidRPr="00A61B66">
        <w:rPr>
          <w:rFonts w:ascii="Garamond" w:eastAsia="Times New Roman" w:hAnsi="Garamond" w:cs="Times New Roman"/>
          <w:color w:val="000000"/>
          <w:sz w:val="26"/>
          <w:szCs w:val="26"/>
          <w:lang w:eastAsia="es-MX"/>
        </w:rPr>
        <w:t xml:space="preserve">”. Llegado a este punto,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presenta una lectura filológica del original en alemán, y de las posteriores traducciones de “Formas que preceden a la acumulación capitalista”, incluido en los </w:t>
      </w:r>
      <w:proofErr w:type="spellStart"/>
      <w:r w:rsidRPr="00A61B66">
        <w:rPr>
          <w:rFonts w:ascii="Garamond" w:eastAsia="Times New Roman" w:hAnsi="Garamond" w:cs="Times New Roman"/>
          <w:i/>
          <w:iCs/>
          <w:color w:val="000000"/>
          <w:sz w:val="26"/>
          <w:szCs w:val="26"/>
          <w:lang w:eastAsia="es-MX"/>
        </w:rPr>
        <w:t>Grundrisse</w:t>
      </w:r>
      <w:proofErr w:type="spellEnd"/>
      <w:r w:rsidRPr="00A61B66">
        <w:rPr>
          <w:rFonts w:ascii="Garamond" w:eastAsia="Times New Roman" w:hAnsi="Garamond" w:cs="Times New Roman"/>
          <w:i/>
          <w:iCs/>
          <w:color w:val="000000"/>
          <w:sz w:val="26"/>
          <w:szCs w:val="26"/>
          <w:lang w:eastAsia="es-MX"/>
        </w:rPr>
        <w:t>,</w:t>
      </w:r>
      <w:r w:rsidRPr="00A61B66">
        <w:rPr>
          <w:rFonts w:ascii="Garamond" w:eastAsia="Times New Roman" w:hAnsi="Garamond" w:cs="Times New Roman"/>
          <w:color w:val="000000"/>
          <w:sz w:val="26"/>
          <w:szCs w:val="26"/>
          <w:lang w:eastAsia="es-MX"/>
        </w:rPr>
        <w:t xml:space="preserve"> en la que advierte un manejo poco claro de los términos “comunidad”, “comunalidad” y “ser común” por parte del filósofo alemán. Para aproximarse a su sentido,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retoma las fuentes con las que el propio Marx trabaja casi treinta años más tarde cuando escribe sus </w:t>
      </w:r>
      <w:r w:rsidRPr="00A61B66">
        <w:rPr>
          <w:rFonts w:ascii="Garamond" w:eastAsia="Times New Roman" w:hAnsi="Garamond" w:cs="Times New Roman"/>
          <w:i/>
          <w:iCs/>
          <w:color w:val="000000"/>
          <w:sz w:val="26"/>
          <w:szCs w:val="26"/>
          <w:lang w:eastAsia="es-MX"/>
        </w:rPr>
        <w:t>Apuntes etnológicos</w:t>
      </w:r>
      <w:r w:rsidRPr="00A61B66">
        <w:rPr>
          <w:rFonts w:ascii="Garamond" w:eastAsia="Times New Roman" w:hAnsi="Garamond" w:cs="Times New Roman"/>
          <w:color w:val="000000"/>
          <w:sz w:val="26"/>
          <w:szCs w:val="26"/>
          <w:lang w:eastAsia="es-MX"/>
        </w:rPr>
        <w:t xml:space="preserve">, en los que se centra en </w:t>
      </w:r>
      <w:r w:rsidRPr="00A61B66">
        <w:rPr>
          <w:rFonts w:ascii="Garamond" w:eastAsia="Times New Roman" w:hAnsi="Garamond" w:cs="Times New Roman"/>
          <w:i/>
          <w:iCs/>
          <w:color w:val="000000"/>
          <w:sz w:val="26"/>
          <w:szCs w:val="26"/>
          <w:lang w:eastAsia="es-MX"/>
        </w:rPr>
        <w:t xml:space="preserve">La sociedad primitiva </w:t>
      </w:r>
      <w:r w:rsidRPr="00A61B66">
        <w:rPr>
          <w:rFonts w:ascii="Garamond" w:eastAsia="Times New Roman" w:hAnsi="Garamond" w:cs="Times New Roman"/>
          <w:color w:val="000000"/>
          <w:sz w:val="26"/>
          <w:szCs w:val="26"/>
          <w:lang w:eastAsia="es-MX"/>
        </w:rPr>
        <w:t xml:space="preserve">de Lewis Henry Morgan. Es este libro el que le permite acceder al coautor de </w:t>
      </w:r>
      <w:r w:rsidRPr="00A61B66">
        <w:rPr>
          <w:rFonts w:ascii="Garamond" w:eastAsia="Times New Roman" w:hAnsi="Garamond" w:cs="Times New Roman"/>
          <w:i/>
          <w:iCs/>
          <w:color w:val="000000"/>
          <w:sz w:val="26"/>
          <w:szCs w:val="26"/>
          <w:lang w:eastAsia="es-MX"/>
        </w:rPr>
        <w:t xml:space="preserve">El Manifiesto comunista </w:t>
      </w:r>
      <w:r w:rsidRPr="00A61B66">
        <w:rPr>
          <w:rFonts w:ascii="Garamond" w:eastAsia="Times New Roman" w:hAnsi="Garamond" w:cs="Times New Roman"/>
          <w:color w:val="000000"/>
          <w:sz w:val="26"/>
          <w:szCs w:val="26"/>
          <w:lang w:eastAsia="es-MX"/>
        </w:rPr>
        <w:t xml:space="preserve">a datos concretos sobre la organización económica y la estructura política de la sociedad comunal azteca. A partir de un riguroso y extraordinario trabajo textual, </w:t>
      </w:r>
      <w:r w:rsidR="001A3998">
        <w:rPr>
          <w:rFonts w:ascii="Garamond" w:eastAsia="Times New Roman" w:hAnsi="Garamond" w:cs="Times New Roman"/>
          <w:color w:val="000000"/>
          <w:sz w:val="26"/>
          <w:szCs w:val="26"/>
          <w:lang w:eastAsia="es-MX"/>
        </w:rPr>
        <w:t>el autor</w:t>
      </w:r>
      <w:r w:rsidR="001A3998" w:rsidRPr="00A61B66">
        <w:rPr>
          <w:rFonts w:ascii="Garamond" w:eastAsia="Times New Roman" w:hAnsi="Garamond" w:cs="Times New Roman"/>
          <w:color w:val="000000"/>
          <w:sz w:val="26"/>
          <w:szCs w:val="26"/>
          <w:lang w:eastAsia="es-MX"/>
        </w:rPr>
        <w:t xml:space="preserve"> </w:t>
      </w:r>
      <w:r w:rsidRPr="00A61B66">
        <w:rPr>
          <w:rFonts w:ascii="Garamond" w:eastAsia="Times New Roman" w:hAnsi="Garamond" w:cs="Times New Roman"/>
          <w:color w:val="000000"/>
          <w:sz w:val="26"/>
          <w:szCs w:val="26"/>
          <w:lang w:eastAsia="es-MX"/>
        </w:rPr>
        <w:t xml:space="preserve">muestra cómo Marx, por intermedio de Morgan, se acerca a la conceptualización de la forma del </w:t>
      </w:r>
      <w:r w:rsidRPr="00A61B66">
        <w:rPr>
          <w:rFonts w:ascii="Garamond" w:eastAsia="Times New Roman" w:hAnsi="Garamond" w:cs="Times New Roman"/>
          <w:i/>
          <w:iCs/>
          <w:color w:val="000000"/>
          <w:sz w:val="26"/>
          <w:szCs w:val="26"/>
          <w:lang w:eastAsia="es-MX"/>
        </w:rPr>
        <w:t>calpulli</w:t>
      </w:r>
      <w:r w:rsidRPr="00A61B66">
        <w:rPr>
          <w:rFonts w:ascii="Garamond" w:eastAsia="Times New Roman" w:hAnsi="Garamond" w:cs="Times New Roman"/>
          <w:color w:val="000000"/>
          <w:sz w:val="26"/>
          <w:szCs w:val="26"/>
          <w:lang w:eastAsia="es-MX"/>
        </w:rPr>
        <w:t xml:space="preserve"> y a su modo particular de tenencia y distribución colectiva de la tierra. A su vez, se subraya cómo toma nota del efecto destructor que produce la consolidación de un Estado central durante el siglo XIV, en detrimento de la autonomía de los </w:t>
      </w:r>
      <w:r w:rsidRPr="00A61B66">
        <w:rPr>
          <w:rFonts w:ascii="Garamond" w:eastAsia="Times New Roman" w:hAnsi="Garamond" w:cs="Times New Roman"/>
          <w:i/>
          <w:iCs/>
          <w:color w:val="000000"/>
          <w:sz w:val="26"/>
          <w:szCs w:val="26"/>
          <w:lang w:eastAsia="es-MX"/>
        </w:rPr>
        <w:t>calpulli</w:t>
      </w:r>
      <w:r w:rsidRPr="00A61B66">
        <w:rPr>
          <w:rFonts w:ascii="Garamond" w:eastAsia="Times New Roman" w:hAnsi="Garamond" w:cs="Times New Roman"/>
          <w:color w:val="000000"/>
          <w:sz w:val="26"/>
          <w:szCs w:val="26"/>
          <w:lang w:eastAsia="es-MX"/>
        </w:rPr>
        <w:t xml:space="preserve">. Así también, dado que el mismo proceso significó la exclusión de las mujeres de las actividades guerreras y, por tanto, de la política,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enlaza el surgimiento reciente de propuestas no estado-céntricas elaboradas desde perspectivas feministas como la que formula Raquel Gutiérrez Aguilar.</w:t>
      </w:r>
    </w:p>
    <w:p w14:paraId="1A5D9862" w14:textId="024EB099" w:rsidR="00A61B66" w:rsidRPr="00A61B66" w:rsidRDefault="00A61B66" w:rsidP="00A61B66">
      <w:pPr>
        <w:spacing w:after="0" w:line="240" w:lineRule="auto"/>
        <w:ind w:firstLine="720"/>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lastRenderedPageBreak/>
        <w:t xml:space="preserve">La manera en que estas lecturas llevan a Marx a replantear sus ideas acerca de la comuna se lee en la respuesta que este le ofrece a la militante revolucionaria rusa, Vera Ivanova </w:t>
      </w:r>
      <w:proofErr w:type="spellStart"/>
      <w:r w:rsidRPr="00A61B66">
        <w:rPr>
          <w:rFonts w:ascii="Garamond" w:eastAsia="Times New Roman" w:hAnsi="Garamond" w:cs="Times New Roman"/>
          <w:color w:val="000000"/>
          <w:sz w:val="26"/>
          <w:szCs w:val="26"/>
          <w:lang w:eastAsia="es-MX"/>
        </w:rPr>
        <w:t>Zas</w:t>
      </w:r>
      <w:r w:rsidR="00AD00F1">
        <w:rPr>
          <w:rFonts w:ascii="Garamond" w:eastAsia="Times New Roman" w:hAnsi="Garamond" w:cs="Times New Roman"/>
          <w:color w:val="000000"/>
          <w:sz w:val="26"/>
          <w:szCs w:val="26"/>
          <w:lang w:eastAsia="es-MX"/>
        </w:rPr>
        <w:t>ú</w:t>
      </w:r>
      <w:r w:rsidRPr="00A61B66">
        <w:rPr>
          <w:rFonts w:ascii="Garamond" w:eastAsia="Times New Roman" w:hAnsi="Garamond" w:cs="Times New Roman"/>
          <w:color w:val="000000"/>
          <w:sz w:val="26"/>
          <w:szCs w:val="26"/>
          <w:lang w:eastAsia="es-MX"/>
        </w:rPr>
        <w:t>lich</w:t>
      </w:r>
      <w:proofErr w:type="spellEnd"/>
      <w:r w:rsidRPr="00A61B66">
        <w:rPr>
          <w:rFonts w:ascii="Garamond" w:eastAsia="Times New Roman" w:hAnsi="Garamond" w:cs="Times New Roman"/>
          <w:color w:val="000000"/>
          <w:sz w:val="26"/>
          <w:szCs w:val="26"/>
          <w:lang w:eastAsia="es-MX"/>
        </w:rPr>
        <w:t xml:space="preserve">, cuando ella se dirige al filósofo alemán en relación con el futuro de la comuna agraria rusa en su famosa carta de 1881. Para sorpresa de </w:t>
      </w:r>
      <w:proofErr w:type="spellStart"/>
      <w:r w:rsidRPr="00A61B66">
        <w:rPr>
          <w:rFonts w:ascii="Garamond" w:eastAsia="Times New Roman" w:hAnsi="Garamond" w:cs="Times New Roman"/>
          <w:color w:val="000000"/>
          <w:sz w:val="26"/>
          <w:szCs w:val="26"/>
          <w:lang w:eastAsia="es-MX"/>
        </w:rPr>
        <w:t>Zas</w:t>
      </w:r>
      <w:r w:rsidR="00AD00F1">
        <w:rPr>
          <w:rFonts w:ascii="Garamond" w:eastAsia="Times New Roman" w:hAnsi="Garamond" w:cs="Times New Roman"/>
          <w:color w:val="000000"/>
          <w:sz w:val="26"/>
          <w:szCs w:val="26"/>
          <w:lang w:eastAsia="es-MX"/>
        </w:rPr>
        <w:t>ú</w:t>
      </w:r>
      <w:r w:rsidRPr="00A61B66">
        <w:rPr>
          <w:rFonts w:ascii="Garamond" w:eastAsia="Times New Roman" w:hAnsi="Garamond" w:cs="Times New Roman"/>
          <w:color w:val="000000"/>
          <w:sz w:val="26"/>
          <w:szCs w:val="26"/>
          <w:lang w:eastAsia="es-MX"/>
        </w:rPr>
        <w:t>lich</w:t>
      </w:r>
      <w:proofErr w:type="spellEnd"/>
      <w:r w:rsidRPr="00A61B66">
        <w:rPr>
          <w:rFonts w:ascii="Garamond" w:eastAsia="Times New Roman" w:hAnsi="Garamond" w:cs="Times New Roman"/>
          <w:color w:val="000000"/>
          <w:sz w:val="26"/>
          <w:szCs w:val="26"/>
          <w:lang w:eastAsia="es-MX"/>
        </w:rPr>
        <w:t xml:space="preserve">, quien esperaba una respuesta acorde con sus planteos teleológicos de la historia en </w:t>
      </w:r>
      <w:r w:rsidRPr="00A61B66">
        <w:rPr>
          <w:rFonts w:ascii="Garamond" w:eastAsia="Times New Roman" w:hAnsi="Garamond" w:cs="Times New Roman"/>
          <w:i/>
          <w:iCs/>
          <w:color w:val="000000"/>
          <w:sz w:val="26"/>
          <w:szCs w:val="26"/>
          <w:lang w:eastAsia="es-MX"/>
        </w:rPr>
        <w:t>El Capital</w:t>
      </w:r>
      <w:r w:rsidRPr="00A61B66">
        <w:rPr>
          <w:rFonts w:ascii="Garamond" w:eastAsia="Times New Roman" w:hAnsi="Garamond" w:cs="Times New Roman"/>
          <w:color w:val="000000"/>
          <w:sz w:val="26"/>
          <w:szCs w:val="26"/>
          <w:lang w:eastAsia="es-MX"/>
        </w:rPr>
        <w:t xml:space="preserve">, Marx responde convencido de que la comuna no debe ser eliminada, sino que en realidad constituye un punto de partida posible. De este modo,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termina de presentar su aguda reevaluación del trabajo de Marx, cuyo sentido se nos revela a partir de una compleja trama de materiales heterogéneos.  A su vez, en el epílogo que resume este extraordinario trabajo, se resalta la actualidad de la comuna como estrategia de lucha social contemporánea y enseña la compleja y olvidada historia </w:t>
      </w:r>
      <w:r w:rsidR="001A3998">
        <w:rPr>
          <w:rFonts w:ascii="Garamond" w:eastAsia="Times New Roman" w:hAnsi="Garamond" w:cs="Times New Roman"/>
          <w:color w:val="000000"/>
          <w:sz w:val="26"/>
          <w:szCs w:val="26"/>
          <w:lang w:eastAsia="es-MX"/>
        </w:rPr>
        <w:t>en</w:t>
      </w:r>
      <w:r w:rsidR="001A3998" w:rsidRPr="00A61B66">
        <w:rPr>
          <w:rFonts w:ascii="Garamond" w:eastAsia="Times New Roman" w:hAnsi="Garamond" w:cs="Times New Roman"/>
          <w:color w:val="000000"/>
          <w:sz w:val="26"/>
          <w:szCs w:val="26"/>
          <w:lang w:eastAsia="es-MX"/>
        </w:rPr>
        <w:t xml:space="preserve"> </w:t>
      </w:r>
      <w:r w:rsidRPr="00A61B66">
        <w:rPr>
          <w:rFonts w:ascii="Garamond" w:eastAsia="Times New Roman" w:hAnsi="Garamond" w:cs="Times New Roman"/>
          <w:color w:val="000000"/>
          <w:sz w:val="26"/>
          <w:szCs w:val="26"/>
          <w:lang w:eastAsia="es-MX"/>
        </w:rPr>
        <w:t>la cual abreva. A diferencia de quienes opinan que experiencias pasadas quedaron “interrumpidas” o “incompletas” por no alcanzar una dimensión nacional, el teórico belga considera que los experimentos más recientes carecen de esa pretensión: “Ya no se trata entonces de «estatalizar» la comuna, sino de «</w:t>
      </w:r>
      <w:proofErr w:type="spellStart"/>
      <w:r w:rsidRPr="00A61B66">
        <w:rPr>
          <w:rFonts w:ascii="Garamond" w:eastAsia="Times New Roman" w:hAnsi="Garamond" w:cs="Times New Roman"/>
          <w:color w:val="000000"/>
          <w:sz w:val="26"/>
          <w:szCs w:val="26"/>
          <w:lang w:eastAsia="es-MX"/>
        </w:rPr>
        <w:t>comunalizar</w:t>
      </w:r>
      <w:proofErr w:type="spellEnd"/>
      <w:r w:rsidRPr="00A61B66">
        <w:rPr>
          <w:rFonts w:ascii="Garamond" w:eastAsia="Times New Roman" w:hAnsi="Garamond" w:cs="Times New Roman"/>
          <w:color w:val="000000"/>
          <w:sz w:val="26"/>
          <w:szCs w:val="26"/>
          <w:lang w:eastAsia="es-MX"/>
        </w:rPr>
        <w:t>» la política en contra o a distancia del Estado” (314)</w:t>
      </w:r>
      <w:r w:rsidR="00AD00F1">
        <w:rPr>
          <w:rFonts w:ascii="Garamond" w:eastAsia="Times New Roman" w:hAnsi="Garamond" w:cs="Times New Roman"/>
          <w:color w:val="000000"/>
          <w:sz w:val="26"/>
          <w:szCs w:val="26"/>
          <w:lang w:eastAsia="es-MX"/>
        </w:rPr>
        <w:t>.</w:t>
      </w:r>
      <w:r w:rsidRPr="00A61B66">
        <w:rPr>
          <w:rFonts w:ascii="Garamond" w:eastAsia="Times New Roman" w:hAnsi="Garamond" w:cs="Times New Roman"/>
          <w:color w:val="000000"/>
          <w:sz w:val="26"/>
          <w:szCs w:val="26"/>
          <w:lang w:eastAsia="es-MX"/>
        </w:rPr>
        <w:t> </w:t>
      </w:r>
    </w:p>
    <w:p w14:paraId="71191A77" w14:textId="573CA554" w:rsidR="00746131" w:rsidRPr="00AC1727" w:rsidRDefault="00A61B66" w:rsidP="00AC1727">
      <w:pPr>
        <w:spacing w:after="0" w:line="240" w:lineRule="auto"/>
        <w:jc w:val="both"/>
        <w:rPr>
          <w:rFonts w:ascii="Garamond" w:eastAsia="Times New Roman" w:hAnsi="Garamond" w:cs="Times New Roman"/>
          <w:color w:val="000000"/>
          <w:sz w:val="26"/>
          <w:szCs w:val="26"/>
          <w:lang w:eastAsia="es-MX"/>
        </w:rPr>
      </w:pPr>
      <w:r w:rsidRPr="00A61B66">
        <w:rPr>
          <w:rFonts w:ascii="Garamond" w:eastAsia="Times New Roman" w:hAnsi="Garamond" w:cs="Times New Roman"/>
          <w:color w:val="000000"/>
          <w:sz w:val="26"/>
          <w:szCs w:val="26"/>
          <w:lang w:eastAsia="es-MX"/>
        </w:rPr>
        <w:tab/>
        <w:t xml:space="preserve">Para cerrar, este libro articula la historia de las experiencias comuneras mexicanas con un renovado examen de la teoría marxista elaborado desde una perspectiva que se sostiene como americana. Mediante el poder </w:t>
      </w:r>
      <w:proofErr w:type="spellStart"/>
      <w:r w:rsidRPr="00A61B66">
        <w:rPr>
          <w:rFonts w:ascii="Garamond" w:eastAsia="Times New Roman" w:hAnsi="Garamond" w:cs="Times New Roman"/>
          <w:color w:val="000000"/>
          <w:sz w:val="26"/>
          <w:szCs w:val="26"/>
          <w:lang w:eastAsia="es-MX"/>
        </w:rPr>
        <w:t>desclasificatorio</w:t>
      </w:r>
      <w:proofErr w:type="spellEnd"/>
      <w:r w:rsidRPr="00A61B66">
        <w:rPr>
          <w:rFonts w:ascii="Garamond" w:eastAsia="Times New Roman" w:hAnsi="Garamond" w:cs="Times New Roman"/>
          <w:color w:val="000000"/>
          <w:sz w:val="26"/>
          <w:szCs w:val="26"/>
          <w:lang w:eastAsia="es-MX"/>
        </w:rPr>
        <w:t xml:space="preserve"> de la (archi o pos) filología, que suspende los órdenes de las disciplinas y las gramáticas de los cuerpos, </w:t>
      </w:r>
      <w:r w:rsidRPr="00A61B66">
        <w:rPr>
          <w:rFonts w:ascii="Garamond" w:eastAsia="Times New Roman" w:hAnsi="Garamond" w:cs="Times New Roman"/>
          <w:i/>
          <w:iCs/>
          <w:color w:val="000000"/>
          <w:sz w:val="26"/>
          <w:szCs w:val="26"/>
          <w:lang w:eastAsia="es-MX"/>
        </w:rPr>
        <w:t>La comuna mexicana</w:t>
      </w:r>
      <w:r w:rsidRPr="00A61B66">
        <w:rPr>
          <w:rFonts w:ascii="Garamond" w:eastAsia="Times New Roman" w:hAnsi="Garamond" w:cs="Times New Roman"/>
          <w:color w:val="000000"/>
          <w:sz w:val="26"/>
          <w:szCs w:val="26"/>
          <w:lang w:eastAsia="es-MX"/>
        </w:rPr>
        <w:t xml:space="preserve"> constituye una mesa de trabajo donde se liberan nuevos sentidos en la reunión de tiempos y espacios antes separados. Al recuperar la forma del </w:t>
      </w:r>
      <w:r w:rsidRPr="00A61B66">
        <w:rPr>
          <w:rFonts w:ascii="Garamond" w:eastAsia="Times New Roman" w:hAnsi="Garamond" w:cs="Times New Roman"/>
          <w:i/>
          <w:iCs/>
          <w:color w:val="000000"/>
          <w:sz w:val="26"/>
          <w:szCs w:val="26"/>
          <w:lang w:eastAsia="es-MX"/>
        </w:rPr>
        <w:t>calpulli</w:t>
      </w:r>
      <w:r w:rsidRPr="00A61B66">
        <w:rPr>
          <w:rFonts w:ascii="Garamond" w:eastAsia="Times New Roman" w:hAnsi="Garamond" w:cs="Times New Roman"/>
          <w:color w:val="000000"/>
          <w:sz w:val="26"/>
          <w:szCs w:val="26"/>
          <w:lang w:eastAsia="es-MX"/>
        </w:rPr>
        <w:t xml:space="preserve"> y trazar una minuciosa genealogía de los levantamientos comunales, </w:t>
      </w:r>
      <w:proofErr w:type="spellStart"/>
      <w:r w:rsidRPr="00A61B66">
        <w:rPr>
          <w:rFonts w:ascii="Garamond" w:eastAsia="Times New Roman" w:hAnsi="Garamond" w:cs="Times New Roman"/>
          <w:color w:val="000000"/>
          <w:sz w:val="26"/>
          <w:szCs w:val="26"/>
          <w:lang w:eastAsia="es-MX"/>
        </w:rPr>
        <w:t>Bosteels</w:t>
      </w:r>
      <w:proofErr w:type="spellEnd"/>
      <w:r w:rsidRPr="00A61B66">
        <w:rPr>
          <w:rFonts w:ascii="Garamond" w:eastAsia="Times New Roman" w:hAnsi="Garamond" w:cs="Times New Roman"/>
          <w:color w:val="000000"/>
          <w:sz w:val="26"/>
          <w:szCs w:val="26"/>
          <w:lang w:eastAsia="es-MX"/>
        </w:rPr>
        <w:t xml:space="preserve"> dispone la memoria de esos experimentos para enriquecer el imaginario político de modos de organización antiestatales. A la par, este trabajo polemiza con quienes, en estos últimos años, han erigido una crítica de los afectos alegres asociándolos con discursos y técnicas normalizadoras. Lo que en esta oportunidad se propone, en cambio, es desarchivar esos momentos de felicidad colectiva, de juego, de creatividad, para que se nos contagie el entusiasmo.</w:t>
      </w:r>
    </w:p>
    <w:p w14:paraId="31667BF2" w14:textId="77777777" w:rsidR="00A61B66" w:rsidRDefault="00A61B66" w:rsidP="00B66099">
      <w:pPr>
        <w:tabs>
          <w:tab w:val="left" w:pos="2030"/>
        </w:tabs>
        <w:jc w:val="both"/>
        <w:rPr>
          <w:rFonts w:ascii="Garamond" w:eastAsia="Garamond" w:hAnsi="Garamond" w:cs="Garamond"/>
          <w:bCs/>
          <w:sz w:val="26"/>
          <w:szCs w:val="26"/>
        </w:rPr>
      </w:pPr>
    </w:p>
    <w:p w14:paraId="1F0F1454" w14:textId="446BE7CD" w:rsidR="00B66099" w:rsidRPr="007E075C" w:rsidRDefault="00B66099" w:rsidP="00B66099">
      <w:pPr>
        <w:tabs>
          <w:tab w:val="left" w:pos="2030"/>
        </w:tabs>
        <w:spacing w:after="60" w:line="240" w:lineRule="auto"/>
        <w:rPr>
          <w:rFonts w:ascii="Garamond" w:eastAsia="Garamond" w:hAnsi="Garamond" w:cs="Garamond"/>
          <w:b/>
          <w:sz w:val="26"/>
          <w:szCs w:val="26"/>
        </w:rPr>
      </w:pPr>
      <w:r w:rsidRPr="007E075C">
        <w:rPr>
          <w:rFonts w:ascii="Garamond" w:eastAsia="Garamond" w:hAnsi="Garamond" w:cs="Garamond"/>
          <w:b/>
          <w:sz w:val="26"/>
          <w:szCs w:val="26"/>
        </w:rPr>
        <w:t>Bibliografí</w:t>
      </w:r>
      <w:bookmarkStart w:id="1" w:name="_heading=h.30j0zll" w:colFirst="0" w:colLast="0"/>
      <w:bookmarkEnd w:id="1"/>
      <w:r w:rsidR="009C52D0">
        <w:rPr>
          <w:rFonts w:ascii="Garamond" w:eastAsia="Garamond" w:hAnsi="Garamond" w:cs="Garamond"/>
          <w:b/>
          <w:sz w:val="26"/>
          <w:szCs w:val="26"/>
        </w:rPr>
        <w:t>a</w:t>
      </w:r>
    </w:p>
    <w:p w14:paraId="5228D40E" w14:textId="77777777" w:rsidR="00A61B66" w:rsidRDefault="00A61B66" w:rsidP="00A61B66">
      <w:pPr>
        <w:spacing w:after="60" w:line="240" w:lineRule="auto"/>
        <w:ind w:hanging="709"/>
        <w:jc w:val="both"/>
        <w:rPr>
          <w:rFonts w:ascii="Garamond" w:eastAsia="Garamond" w:hAnsi="Garamond" w:cs="Garamond"/>
          <w:smallCaps/>
          <w:sz w:val="26"/>
          <w:szCs w:val="26"/>
        </w:rPr>
      </w:pPr>
    </w:p>
    <w:p w14:paraId="611E76A6" w14:textId="75FE1C62" w:rsidR="00A61B66" w:rsidRPr="004505F5" w:rsidRDefault="00A61B66" w:rsidP="00A61B66">
      <w:pPr>
        <w:spacing w:after="60" w:line="240" w:lineRule="auto"/>
        <w:ind w:hanging="709"/>
        <w:jc w:val="both"/>
        <w:rPr>
          <w:rFonts w:ascii="Garamond" w:eastAsia="Garamond" w:hAnsi="Garamond" w:cs="Garamond"/>
          <w:sz w:val="26"/>
          <w:szCs w:val="26"/>
        </w:rPr>
      </w:pPr>
      <w:r w:rsidRPr="00A61B66">
        <w:rPr>
          <w:rFonts w:ascii="Garamond" w:eastAsia="Garamond" w:hAnsi="Garamond" w:cs="Garamond"/>
          <w:smallCaps/>
          <w:sz w:val="26"/>
          <w:szCs w:val="26"/>
        </w:rPr>
        <w:t>Tel</w:t>
      </w:r>
      <w:r w:rsidR="0037614D">
        <w:rPr>
          <w:rFonts w:ascii="Garamond" w:eastAsia="Garamond" w:hAnsi="Garamond" w:cs="Garamond"/>
          <w:smallCaps/>
          <w:sz w:val="26"/>
          <w:szCs w:val="26"/>
        </w:rPr>
        <w:t>l</w:t>
      </w:r>
      <w:r w:rsidRPr="00A61B66">
        <w:rPr>
          <w:rFonts w:ascii="Garamond" w:eastAsia="Garamond" w:hAnsi="Garamond" w:cs="Garamond"/>
          <w:smallCaps/>
          <w:sz w:val="26"/>
          <w:szCs w:val="26"/>
        </w:rPr>
        <w:t>o</w:t>
      </w:r>
      <w:r w:rsidR="00B66099" w:rsidRPr="00A61B66">
        <w:rPr>
          <w:rFonts w:ascii="Garamond" w:eastAsia="Garamond" w:hAnsi="Garamond" w:cs="Garamond"/>
          <w:smallCaps/>
          <w:sz w:val="26"/>
          <w:szCs w:val="26"/>
        </w:rPr>
        <w:t xml:space="preserve">, </w:t>
      </w:r>
      <w:r w:rsidRPr="00A61B66">
        <w:rPr>
          <w:rFonts w:ascii="Garamond" w:eastAsia="Garamond" w:hAnsi="Garamond" w:cs="Garamond"/>
          <w:smallCaps/>
          <w:sz w:val="26"/>
          <w:szCs w:val="26"/>
        </w:rPr>
        <w:t>Andrés Maximiliano</w:t>
      </w:r>
      <w:r w:rsidR="00B66099" w:rsidRPr="00A61B66">
        <w:rPr>
          <w:rFonts w:ascii="Garamond" w:eastAsia="Garamond" w:hAnsi="Garamond" w:cs="Garamond"/>
          <w:sz w:val="26"/>
          <w:szCs w:val="26"/>
        </w:rPr>
        <w:t xml:space="preserve">. </w:t>
      </w:r>
      <w:r w:rsidRPr="00A61B66">
        <w:rPr>
          <w:rFonts w:ascii="Garamond" w:hAnsi="Garamond"/>
          <w:i/>
          <w:iCs/>
          <w:color w:val="000000"/>
          <w:sz w:val="26"/>
          <w:szCs w:val="26"/>
        </w:rPr>
        <w:t>Anarchivismo. Tecnologías políticas del archivo</w:t>
      </w:r>
      <w:r w:rsidRPr="00A61B66">
        <w:rPr>
          <w:rFonts w:ascii="Garamond" w:hAnsi="Garamond"/>
          <w:color w:val="000000"/>
          <w:sz w:val="26"/>
          <w:szCs w:val="26"/>
        </w:rPr>
        <w:t>. Adrogué</w:t>
      </w:r>
      <w:r w:rsidR="0095136C">
        <w:rPr>
          <w:rFonts w:ascii="Garamond" w:hAnsi="Garamond"/>
          <w:color w:val="000000"/>
          <w:sz w:val="26"/>
          <w:szCs w:val="26"/>
        </w:rPr>
        <w:t>:</w:t>
      </w:r>
      <w:r w:rsidRPr="00A61B66">
        <w:rPr>
          <w:rFonts w:ascii="Garamond" w:hAnsi="Garamond"/>
          <w:color w:val="000000"/>
          <w:sz w:val="26"/>
          <w:szCs w:val="26"/>
        </w:rPr>
        <w:t xml:space="preserve"> La Cebra, 2018.</w:t>
      </w:r>
    </w:p>
    <w:p w14:paraId="339A22E2" w14:textId="77777777" w:rsidR="00FA2338" w:rsidRPr="00FA2338" w:rsidRDefault="00FA2338" w:rsidP="00AC1727"/>
    <w:sectPr w:rsidR="00FA2338" w:rsidRPr="00FA2338" w:rsidSect="00B66099">
      <w:headerReference w:type="default" r:id="rId8"/>
      <w:footerReference w:type="default" r:id="rId9"/>
      <w:pgSz w:w="12240" w:h="15840"/>
      <w:pgMar w:top="1418" w:right="2319" w:bottom="1701" w:left="226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BDACBAF" w16cex:dateUtc="2023-08-17T21:25:00Z"/>
  <w16cex:commentExtensible w16cex:durableId="369A99BF" w16cex:dateUtc="2023-08-17T21:25:00Z"/>
  <w16cex:commentExtensible w16cex:durableId="4185877D" w16cex:dateUtc="2023-08-17T21:26:00Z"/>
  <w16cex:commentExtensible w16cex:durableId="6E0062C2" w16cex:dateUtc="2023-08-24T14:20:00Z"/>
  <w16cex:commentExtensible w16cex:durableId="6BF953A9" w16cex:dateUtc="2023-08-24T14:23:00Z"/>
  <w16cex:commentExtensible w16cex:durableId="006E7E9E" w16cex:dateUtc="2023-08-24T14:24:00Z"/>
  <w16cex:commentExtensible w16cex:durableId="5C8D59E5" w16cex:dateUtc="2023-08-24T14:27:00Z"/>
  <w16cex:commentExtensible w16cex:durableId="51A6FE6A" w16cex:dateUtc="2023-08-24T14: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17EAE" w14:textId="77777777" w:rsidR="009A06FA" w:rsidRDefault="009A06FA" w:rsidP="00EC1F5B">
      <w:pPr>
        <w:spacing w:after="0" w:line="240" w:lineRule="auto"/>
      </w:pPr>
      <w:r>
        <w:separator/>
      </w:r>
    </w:p>
  </w:endnote>
  <w:endnote w:type="continuationSeparator" w:id="0">
    <w:p w14:paraId="54F4E258" w14:textId="77777777" w:rsidR="009A06FA" w:rsidRDefault="009A06FA" w:rsidP="00EC1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charset w:val="00"/>
    <w:family w:val="swiss"/>
    <w:pitch w:val="variable"/>
    <w:sig w:usb0="E10022FF" w:usb1="C000E47F" w:usb2="00000029" w:usb3="00000000" w:csb0="000001D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65075" w14:textId="67DCB6C0" w:rsidR="007F6370" w:rsidRDefault="00193CE7" w:rsidP="00193CE7">
    <w:pPr>
      <w:tabs>
        <w:tab w:val="left" w:pos="3828"/>
        <w:tab w:val="center" w:pos="4419"/>
        <w:tab w:val="right" w:pos="8838"/>
        <w:tab w:val="left" w:pos="3828"/>
      </w:tabs>
      <w:ind w:left="-993" w:right="-567"/>
      <w:jc w:val="center"/>
      <w:rPr>
        <w:rFonts w:ascii="Garamond" w:eastAsia="Garamond" w:hAnsi="Garamond" w:cs="Garamond"/>
        <w:color w:val="000000"/>
        <w:sz w:val="20"/>
        <w:szCs w:val="20"/>
      </w:rPr>
    </w:pPr>
    <w:r>
      <w:rPr>
        <w:rFonts w:ascii="Garamond" w:eastAsia="Garamond" w:hAnsi="Garamond" w:cs="Garamond"/>
        <w:noProof/>
        <w:color w:val="000000"/>
        <w:sz w:val="20"/>
        <w:szCs w:val="20"/>
      </w:rPr>
      <mc:AlternateContent>
        <mc:Choice Requires="wps">
          <w:drawing>
            <wp:anchor distT="0" distB="0" distL="114300" distR="114300" simplePos="0" relativeHeight="251661312" behindDoc="0" locked="0" layoutInCell="1" allowOverlap="1" wp14:anchorId="195BCB3B" wp14:editId="578BAC3D">
              <wp:simplePos x="0" y="0"/>
              <wp:positionH relativeFrom="column">
                <wp:posOffset>-744855</wp:posOffset>
              </wp:positionH>
              <wp:positionV relativeFrom="paragraph">
                <wp:posOffset>65405</wp:posOffset>
              </wp:positionV>
              <wp:extent cx="6248400" cy="0"/>
              <wp:effectExtent l="0" t="19050" r="19050" b="19050"/>
              <wp:wrapNone/>
              <wp:docPr id="1" name="Straight Connector 1"/>
              <wp:cNvGraphicFramePr/>
              <a:graphic xmlns:a="http://schemas.openxmlformats.org/drawingml/2006/main">
                <a:graphicData uri="http://schemas.microsoft.com/office/word/2010/wordprocessingShape">
                  <wps:wsp>
                    <wps:cNvCnPr/>
                    <wps:spPr>
                      <a:xfrm>
                        <a:off x="0" y="0"/>
                        <a:ext cx="6248400" cy="0"/>
                      </a:xfrm>
                      <a:prstGeom prst="line">
                        <a:avLst/>
                      </a:prstGeom>
                      <a:ln w="38100">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xmlns:oel="http://schemas.microsoft.com/office/2019/extlst" xmlns:w16sdtdh="http://schemas.microsoft.com/office/word/2020/wordml/sdtdatahash">
          <w:pict>
            <v:line w14:anchorId="5A64C70A"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8.65pt,5.15pt" to="433.3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" strokecolor="#1f3763 [1604]" strokeweight="3pt">
              <v:stroke joinstyle="miter"/>
            </v:line>
          </w:pict>
        </mc:Fallback>
      </mc:AlternateContent>
    </w:r>
  </w:p>
  <w:p w14:paraId="517768CF" w14:textId="50B007A2" w:rsidR="007F6370" w:rsidRDefault="007F6370" w:rsidP="00193CE7">
    <w:pPr>
      <w:tabs>
        <w:tab w:val="left" w:pos="3828"/>
        <w:tab w:val="center" w:pos="4419"/>
        <w:tab w:val="right" w:pos="8838"/>
        <w:tab w:val="left" w:pos="3828"/>
      </w:tabs>
      <w:ind w:left="-993" w:right="-567"/>
      <w:jc w:val="center"/>
      <w:rPr>
        <w:rFonts w:ascii="Garamond" w:eastAsia="Garamond" w:hAnsi="Garamond" w:cs="Garamond"/>
        <w:color w:val="000000"/>
        <w:sz w:val="20"/>
        <w:szCs w:val="20"/>
      </w:rPr>
    </w:pPr>
    <w:r>
      <w:rPr>
        <w:rFonts w:ascii="Garamond" w:eastAsia="Garamond" w:hAnsi="Garamond" w:cs="Garamond"/>
        <w:color w:val="000000"/>
        <w:sz w:val="20"/>
        <w:szCs w:val="20"/>
      </w:rPr>
      <w:t xml:space="preserve">Número </w:t>
    </w:r>
    <w:proofErr w:type="gramStart"/>
    <w:r>
      <w:rPr>
        <w:rFonts w:ascii="Garamond" w:eastAsia="Garamond" w:hAnsi="Garamond" w:cs="Garamond"/>
        <w:color w:val="000000"/>
        <w:sz w:val="20"/>
        <w:szCs w:val="20"/>
      </w:rPr>
      <w:t>1  /</w:t>
    </w:r>
    <w:proofErr w:type="gramEnd"/>
    <w:r>
      <w:rPr>
        <w:rFonts w:ascii="Garamond" w:eastAsia="Garamond" w:hAnsi="Garamond" w:cs="Garamond"/>
        <w:color w:val="000000"/>
        <w:sz w:val="20"/>
        <w:szCs w:val="20"/>
      </w:rPr>
      <w:t xml:space="preserve"> Julio 2023 / pp.</w:t>
    </w:r>
    <w:r>
      <w:rPr>
        <w:rFonts w:ascii="Garamond" w:eastAsia="Garamond" w:hAnsi="Garamond" w:cs="Garamond"/>
        <w:color w:val="000000"/>
        <w:sz w:val="20"/>
        <w:szCs w:val="20"/>
      </w:rPr>
      <w:tab/>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Pr>
        <w:rFonts w:ascii="Garamond" w:eastAsia="Garamond" w:hAnsi="Garamond" w:cs="Garamond"/>
        <w:color w:val="000000"/>
        <w:sz w:val="20"/>
        <w:szCs w:val="20"/>
      </w:rPr>
      <w:t>109</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 xml:space="preserve">                                                       ISSN </w:t>
    </w:r>
    <w:r w:rsidR="00594C51">
      <w:rPr>
        <w:rFonts w:ascii="Garamond" w:eastAsia="Garamond" w:hAnsi="Garamond" w:cs="Garamond"/>
        <w:color w:val="000000"/>
        <w:sz w:val="20"/>
        <w:szCs w:val="20"/>
      </w:rPr>
      <w:t>3008</w:t>
    </w:r>
    <w:r w:rsidR="00FA2338">
      <w:rPr>
        <w:rFonts w:ascii="Garamond" w:eastAsia="Garamond" w:hAnsi="Garamond" w:cs="Garamond"/>
        <w:color w:val="000000"/>
        <w:sz w:val="20"/>
        <w:szCs w:val="20"/>
      </w:rPr>
      <w:t>-</w:t>
    </w:r>
    <w:r w:rsidR="00594C51">
      <w:rPr>
        <w:rFonts w:ascii="Garamond" w:eastAsia="Garamond" w:hAnsi="Garamond" w:cs="Garamond"/>
        <w:color w:val="000000"/>
        <w:sz w:val="20"/>
        <w:szCs w:val="20"/>
      </w:rPr>
      <w:t>7619</w:t>
    </w:r>
  </w:p>
  <w:p w14:paraId="0892B44D" w14:textId="77777777" w:rsidR="006D015A" w:rsidRDefault="006D0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45C4E" w14:textId="77777777" w:rsidR="009A06FA" w:rsidRDefault="009A06FA" w:rsidP="00EC1F5B">
      <w:pPr>
        <w:spacing w:after="0" w:line="240" w:lineRule="auto"/>
      </w:pPr>
      <w:r>
        <w:separator/>
      </w:r>
    </w:p>
  </w:footnote>
  <w:footnote w:type="continuationSeparator" w:id="0">
    <w:p w14:paraId="4AD491D3" w14:textId="77777777" w:rsidR="009A06FA" w:rsidRDefault="009A06FA" w:rsidP="00EC1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F43B8" w14:textId="37578A29" w:rsidR="00EC1F5B" w:rsidRDefault="009C52D0" w:rsidP="00A25F8F">
    <w:pPr>
      <w:tabs>
        <w:tab w:val="center" w:pos="4419"/>
        <w:tab w:val="left" w:pos="5985"/>
        <w:tab w:val="right" w:pos="8838"/>
        <w:tab w:val="left" w:pos="4536"/>
        <w:tab w:val="right" w:pos="8833"/>
      </w:tabs>
      <w:spacing w:before="240"/>
      <w:ind w:left="-1134" w:right="-1136" w:hanging="142"/>
      <w:jc w:val="center"/>
      <w:rPr>
        <w:rFonts w:ascii="Garamond" w:eastAsia="Garamond" w:hAnsi="Garamond" w:cs="Garamond"/>
        <w:i/>
        <w:color w:val="000000"/>
      </w:rPr>
    </w:pPr>
    <w:r>
      <w:rPr>
        <w:noProof/>
        <w:lang w:eastAsia="es-AR"/>
      </w:rPr>
      <w:drawing>
        <wp:anchor distT="0" distB="0" distL="114300" distR="114300" simplePos="0" relativeHeight="251659264" behindDoc="0" locked="0" layoutInCell="1" hidden="0" allowOverlap="1" wp14:anchorId="11CF83D1" wp14:editId="722A7CCF">
          <wp:simplePos x="0" y="0"/>
          <wp:positionH relativeFrom="column">
            <wp:posOffset>1874520</wp:posOffset>
          </wp:positionH>
          <wp:positionV relativeFrom="paragraph">
            <wp:posOffset>-50165</wp:posOffset>
          </wp:positionV>
          <wp:extent cx="1000800" cy="457200"/>
          <wp:effectExtent l="0" t="0" r="889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000800" cy="457200"/>
                  </a:xfrm>
                  <a:prstGeom prst="rect">
                    <a:avLst/>
                  </a:prstGeom>
                  <a:ln/>
                </pic:spPr>
              </pic:pic>
            </a:graphicData>
          </a:graphic>
          <wp14:sizeRelH relativeFrom="margin">
            <wp14:pctWidth>0</wp14:pctWidth>
          </wp14:sizeRelH>
          <wp14:sizeRelV relativeFrom="margin">
            <wp14:pctHeight>0</wp14:pctHeight>
          </wp14:sizeRelV>
        </wp:anchor>
      </w:drawing>
    </w:r>
    <w:r w:rsidR="00B66099">
      <w:rPr>
        <w:rFonts w:ascii="Garamond" w:eastAsia="Garamond" w:hAnsi="Garamond" w:cs="Garamond"/>
        <w:b/>
        <w:iCs/>
        <w:noProof/>
        <w:color w:val="000000"/>
        <w:sz w:val="20"/>
        <w:szCs w:val="20"/>
      </w:rPr>
      <mc:AlternateContent>
        <mc:Choice Requires="wps">
          <w:drawing>
            <wp:anchor distT="0" distB="0" distL="114300" distR="114300" simplePos="0" relativeHeight="251660288" behindDoc="1" locked="0" layoutInCell="1" allowOverlap="1" wp14:anchorId="7214EF36" wp14:editId="24623788">
              <wp:simplePos x="0" y="0"/>
              <wp:positionH relativeFrom="column">
                <wp:posOffset>-1211580</wp:posOffset>
              </wp:positionH>
              <wp:positionV relativeFrom="page">
                <wp:posOffset>1028700</wp:posOffset>
              </wp:positionV>
              <wp:extent cx="7334250" cy="0"/>
              <wp:effectExtent l="0" t="19050" r="38100" b="38100"/>
              <wp:wrapSquare wrapText="bothSides"/>
              <wp:docPr id="15" name="Straight Connector 15"/>
              <wp:cNvGraphicFramePr/>
              <a:graphic xmlns:a="http://schemas.openxmlformats.org/drawingml/2006/main">
                <a:graphicData uri="http://schemas.microsoft.com/office/word/2010/wordprocessingShape">
                  <wps:wsp>
                    <wps:cNvCnPr/>
                    <wps:spPr>
                      <a:xfrm>
                        <a:off x="0" y="0"/>
                        <a:ext cx="7334250" cy="0"/>
                      </a:xfrm>
                      <a:prstGeom prst="line">
                        <a:avLst/>
                      </a:prstGeom>
                      <a:ln w="57150">
                        <a:solidFill>
                          <a:schemeClr val="accent1">
                            <a:lumMod val="50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oel="http://schemas.microsoft.com/office/2019/extlst" xmlns:w16sdtdh="http://schemas.microsoft.com/office/word/2020/wordml/sdtdatahash">
          <w:pict>
            <v:line w14:anchorId="78A7501C" id="Straight Connector 15"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95.4pt,81pt" to="482.1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" strokecolor="#1f3763 [1604]" strokeweight="4.5pt">
              <v:stroke joinstyle="miter"/>
              <w10:wrap type="square" anchory="page"/>
            </v:line>
          </w:pict>
        </mc:Fallback>
      </mc:AlternateContent>
    </w:r>
    <w:r w:rsidR="00A86528">
      <w:rPr>
        <w:rFonts w:ascii="Garamond" w:eastAsia="Garamond" w:hAnsi="Garamond" w:cs="Garamond"/>
        <w:b/>
        <w:iCs/>
        <w:color w:val="000000"/>
        <w:sz w:val="20"/>
        <w:szCs w:val="20"/>
      </w:rPr>
      <w:t>Repetto</w:t>
    </w:r>
    <w:r w:rsidR="00EC1F5B">
      <w:rPr>
        <w:rFonts w:ascii="Garamond" w:eastAsia="Garamond" w:hAnsi="Garamond" w:cs="Garamond"/>
        <w:color w:val="000000"/>
        <w:sz w:val="20"/>
        <w:szCs w:val="20"/>
      </w:rPr>
      <w:t>, “</w:t>
    </w:r>
    <w:bookmarkStart w:id="2" w:name="_Hlk142587516"/>
    <w:bookmarkStart w:id="3" w:name="_Hlk142587517"/>
    <w:r w:rsidR="00A86528">
      <w:rPr>
        <w:rFonts w:ascii="Garamond" w:eastAsia="Garamond" w:hAnsi="Garamond" w:cs="Garamond"/>
        <w:color w:val="000000"/>
        <w:sz w:val="20"/>
        <w:szCs w:val="20"/>
      </w:rPr>
      <w:t>La comuna mexicana</w:t>
    </w:r>
    <w:r w:rsidR="00EC1F5B">
      <w:rPr>
        <w:rFonts w:ascii="Garamond" w:eastAsia="Garamond" w:hAnsi="Garamond" w:cs="Garamond"/>
        <w:color w:val="000000"/>
        <w:sz w:val="20"/>
        <w:szCs w:val="20"/>
      </w:rPr>
      <w:t>…”</w:t>
    </w:r>
    <w:bookmarkStart w:id="4" w:name="_Hlk142589208"/>
    <w:r w:rsidR="00EC1F5B">
      <w:rPr>
        <w:rFonts w:ascii="Garamond" w:eastAsia="Garamond" w:hAnsi="Garamond" w:cs="Garamond"/>
        <w:color w:val="000000"/>
        <w:sz w:val="20"/>
        <w:szCs w:val="20"/>
      </w:rPr>
      <w:tab/>
      <w:t xml:space="preserve"> </w:t>
    </w:r>
    <w:r w:rsidR="006D1EEA">
      <w:rPr>
        <w:rFonts w:ascii="Garamond" w:eastAsia="Garamond" w:hAnsi="Garamond" w:cs="Garamond"/>
        <w:color w:val="000000"/>
        <w:sz w:val="20"/>
        <w:szCs w:val="20"/>
      </w:rPr>
      <w:t xml:space="preserve">                                                          </w:t>
    </w:r>
    <w:r w:rsidR="00B66099">
      <w:rPr>
        <w:rFonts w:ascii="Garamond" w:eastAsia="Garamond" w:hAnsi="Garamond" w:cs="Garamond"/>
        <w:color w:val="000000"/>
        <w:sz w:val="20"/>
        <w:szCs w:val="20"/>
      </w:rPr>
      <w:t xml:space="preserve">          </w:t>
    </w:r>
    <w:r w:rsidR="00EC1F5B">
      <w:rPr>
        <w:rFonts w:ascii="Garamond" w:eastAsia="Garamond" w:hAnsi="Garamond" w:cs="Garamond"/>
        <w:i/>
        <w:color w:val="000000"/>
      </w:rPr>
      <w:t>Nueva Revista de Literaturas Populares</w:t>
    </w:r>
  </w:p>
  <w:bookmarkEnd w:id="2"/>
  <w:bookmarkEnd w:id="3"/>
  <w:bookmarkEnd w:id="4"/>
  <w:p w14:paraId="19B3D5D1" w14:textId="777C0D16" w:rsidR="00EC1F5B" w:rsidRPr="00473858" w:rsidRDefault="00EC1F5B" w:rsidP="00473858">
    <w:pPr>
      <w:tabs>
        <w:tab w:val="center" w:pos="4419"/>
        <w:tab w:val="right" w:pos="8838"/>
        <w:tab w:val="left" w:pos="4536"/>
        <w:tab w:val="right" w:pos="8833"/>
      </w:tabs>
      <w:spacing w:before="240"/>
      <w:ind w:left="-1134" w:right="-567" w:hanging="142"/>
      <w:rPr>
        <w:rFonts w:ascii="Garamond" w:eastAsia="Garamond" w:hAnsi="Garamond" w:cs="Garamond"/>
        <w:b/>
        <w:iCs/>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F5B"/>
    <w:rsid w:val="000113A7"/>
    <w:rsid w:val="000A0584"/>
    <w:rsid w:val="001518AB"/>
    <w:rsid w:val="00193CE7"/>
    <w:rsid w:val="001A3998"/>
    <w:rsid w:val="001F07AC"/>
    <w:rsid w:val="002540C0"/>
    <w:rsid w:val="002A623B"/>
    <w:rsid w:val="002C6D85"/>
    <w:rsid w:val="00302286"/>
    <w:rsid w:val="00357082"/>
    <w:rsid w:val="0037614D"/>
    <w:rsid w:val="003C4FB9"/>
    <w:rsid w:val="003C69B9"/>
    <w:rsid w:val="003D12C4"/>
    <w:rsid w:val="00412D50"/>
    <w:rsid w:val="00425F71"/>
    <w:rsid w:val="004505F5"/>
    <w:rsid w:val="00453B95"/>
    <w:rsid w:val="00473858"/>
    <w:rsid w:val="005903FA"/>
    <w:rsid w:val="00594C51"/>
    <w:rsid w:val="005C220C"/>
    <w:rsid w:val="00600630"/>
    <w:rsid w:val="006222F3"/>
    <w:rsid w:val="006D015A"/>
    <w:rsid w:val="006D1EEA"/>
    <w:rsid w:val="006F21F4"/>
    <w:rsid w:val="007436C3"/>
    <w:rsid w:val="00746131"/>
    <w:rsid w:val="0076196A"/>
    <w:rsid w:val="007F6370"/>
    <w:rsid w:val="008146C2"/>
    <w:rsid w:val="008153B8"/>
    <w:rsid w:val="008624ED"/>
    <w:rsid w:val="00870AD9"/>
    <w:rsid w:val="008B0816"/>
    <w:rsid w:val="008C293C"/>
    <w:rsid w:val="00931101"/>
    <w:rsid w:val="0095136C"/>
    <w:rsid w:val="00961B9B"/>
    <w:rsid w:val="009A06FA"/>
    <w:rsid w:val="009B326B"/>
    <w:rsid w:val="009B3B8C"/>
    <w:rsid w:val="009C52D0"/>
    <w:rsid w:val="00A25F8F"/>
    <w:rsid w:val="00A61B66"/>
    <w:rsid w:val="00A86528"/>
    <w:rsid w:val="00AC1727"/>
    <w:rsid w:val="00AD00F1"/>
    <w:rsid w:val="00B66099"/>
    <w:rsid w:val="00BC4CF1"/>
    <w:rsid w:val="00C54F69"/>
    <w:rsid w:val="00C55E45"/>
    <w:rsid w:val="00CE35CD"/>
    <w:rsid w:val="00D434B6"/>
    <w:rsid w:val="00D47643"/>
    <w:rsid w:val="00DA256D"/>
    <w:rsid w:val="00E54960"/>
    <w:rsid w:val="00EC1F5B"/>
    <w:rsid w:val="00EC7A59"/>
    <w:rsid w:val="00F56D31"/>
    <w:rsid w:val="00F7175F"/>
    <w:rsid w:val="00FA2338"/>
    <w:rsid w:val="00FF78A4"/>
    <w:rsid w:val="00FF7AE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DADB3"/>
  <w15:chartTrackingRefBased/>
  <w15:docId w15:val="{DC826D1E-72E0-4B3B-87BF-55A485BFD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qFormat/>
    <w:rsid w:val="00EC1F5B"/>
    <w:pPr>
      <w:keepNext/>
      <w:spacing w:after="0" w:line="360" w:lineRule="auto"/>
      <w:jc w:val="right"/>
      <w:outlineLvl w:val="1"/>
    </w:pPr>
    <w:rPr>
      <w:rFonts w:ascii="Times New Roman" w:eastAsia="Times New Roman" w:hAnsi="Times New Roman" w:cs="Times New Roman"/>
      <w:b/>
      <w:bCs/>
      <w:iCs/>
      <w:sz w:val="24"/>
      <w:szCs w:val="24"/>
      <w:lang w:val="es-ES"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F5B"/>
    <w:pPr>
      <w:tabs>
        <w:tab w:val="center" w:pos="4419"/>
        <w:tab w:val="right" w:pos="8838"/>
      </w:tabs>
      <w:spacing w:after="0" w:line="240" w:lineRule="auto"/>
    </w:pPr>
  </w:style>
  <w:style w:type="character" w:customStyle="1" w:styleId="HeaderChar">
    <w:name w:val="Header Char"/>
    <w:basedOn w:val="DefaultParagraphFont"/>
    <w:link w:val="Header"/>
    <w:uiPriority w:val="99"/>
    <w:rsid w:val="00EC1F5B"/>
  </w:style>
  <w:style w:type="paragraph" w:styleId="Footer">
    <w:name w:val="footer"/>
    <w:basedOn w:val="Normal"/>
    <w:link w:val="FooterChar"/>
    <w:uiPriority w:val="99"/>
    <w:unhideWhenUsed/>
    <w:rsid w:val="00EC1F5B"/>
    <w:pPr>
      <w:tabs>
        <w:tab w:val="center" w:pos="4419"/>
        <w:tab w:val="right" w:pos="8838"/>
      </w:tabs>
      <w:spacing w:after="0" w:line="240" w:lineRule="auto"/>
    </w:pPr>
  </w:style>
  <w:style w:type="character" w:customStyle="1" w:styleId="FooterChar">
    <w:name w:val="Footer Char"/>
    <w:basedOn w:val="DefaultParagraphFont"/>
    <w:link w:val="Footer"/>
    <w:uiPriority w:val="99"/>
    <w:rsid w:val="00EC1F5B"/>
  </w:style>
  <w:style w:type="character" w:customStyle="1" w:styleId="Heading2Char">
    <w:name w:val="Heading 2 Char"/>
    <w:basedOn w:val="DefaultParagraphFont"/>
    <w:link w:val="Heading2"/>
    <w:uiPriority w:val="9"/>
    <w:rsid w:val="00EC1F5B"/>
    <w:rPr>
      <w:rFonts w:ascii="Times New Roman" w:eastAsia="Times New Roman" w:hAnsi="Times New Roman" w:cs="Times New Roman"/>
      <w:b/>
      <w:bCs/>
      <w:iCs/>
      <w:sz w:val="24"/>
      <w:szCs w:val="24"/>
      <w:lang w:val="es-ES" w:eastAsia="es-ES"/>
    </w:rPr>
  </w:style>
  <w:style w:type="character" w:styleId="Hyperlink">
    <w:name w:val="Hyperlink"/>
    <w:uiPriority w:val="99"/>
    <w:unhideWhenUsed/>
    <w:rsid w:val="00EC1F5B"/>
    <w:rPr>
      <w:color w:val="0563C1"/>
      <w:u w:val="single"/>
    </w:rPr>
  </w:style>
  <w:style w:type="paragraph" w:styleId="BalloonText">
    <w:name w:val="Balloon Text"/>
    <w:basedOn w:val="Normal"/>
    <w:link w:val="BalloonTextChar"/>
    <w:uiPriority w:val="99"/>
    <w:semiHidden/>
    <w:unhideWhenUsed/>
    <w:rsid w:val="008153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3B8"/>
    <w:rPr>
      <w:rFonts w:ascii="Segoe UI" w:hAnsi="Segoe UI" w:cs="Segoe UI"/>
      <w:sz w:val="18"/>
      <w:szCs w:val="18"/>
    </w:rPr>
  </w:style>
  <w:style w:type="character" w:styleId="CommentReference">
    <w:name w:val="annotation reference"/>
    <w:basedOn w:val="DefaultParagraphFont"/>
    <w:uiPriority w:val="99"/>
    <w:semiHidden/>
    <w:unhideWhenUsed/>
    <w:rsid w:val="00A61B66"/>
    <w:rPr>
      <w:sz w:val="16"/>
      <w:szCs w:val="16"/>
    </w:rPr>
  </w:style>
  <w:style w:type="paragraph" w:styleId="CommentText">
    <w:name w:val="annotation text"/>
    <w:basedOn w:val="Normal"/>
    <w:link w:val="CommentTextChar"/>
    <w:uiPriority w:val="99"/>
    <w:semiHidden/>
    <w:unhideWhenUsed/>
    <w:rsid w:val="00A61B66"/>
    <w:pPr>
      <w:spacing w:line="240" w:lineRule="auto"/>
    </w:pPr>
    <w:rPr>
      <w:sz w:val="20"/>
      <w:szCs w:val="20"/>
    </w:rPr>
  </w:style>
  <w:style w:type="character" w:customStyle="1" w:styleId="CommentTextChar">
    <w:name w:val="Comment Text Char"/>
    <w:basedOn w:val="DefaultParagraphFont"/>
    <w:link w:val="CommentText"/>
    <w:uiPriority w:val="99"/>
    <w:semiHidden/>
    <w:rsid w:val="00A61B66"/>
    <w:rPr>
      <w:sz w:val="20"/>
      <w:szCs w:val="20"/>
    </w:rPr>
  </w:style>
  <w:style w:type="paragraph" w:styleId="CommentSubject">
    <w:name w:val="annotation subject"/>
    <w:basedOn w:val="CommentText"/>
    <w:next w:val="CommentText"/>
    <w:link w:val="CommentSubjectChar"/>
    <w:uiPriority w:val="99"/>
    <w:semiHidden/>
    <w:unhideWhenUsed/>
    <w:rsid w:val="00A61B66"/>
    <w:rPr>
      <w:b/>
      <w:bCs/>
    </w:rPr>
  </w:style>
  <w:style w:type="character" w:customStyle="1" w:styleId="CommentSubjectChar">
    <w:name w:val="Comment Subject Char"/>
    <w:basedOn w:val="CommentTextChar"/>
    <w:link w:val="CommentSubject"/>
    <w:uiPriority w:val="99"/>
    <w:semiHidden/>
    <w:rsid w:val="00A61B66"/>
    <w:rPr>
      <w:b/>
      <w:bCs/>
      <w:sz w:val="20"/>
      <w:szCs w:val="20"/>
    </w:rPr>
  </w:style>
  <w:style w:type="paragraph" w:styleId="NormalWeb">
    <w:name w:val="Normal (Web)"/>
    <w:basedOn w:val="Normal"/>
    <w:uiPriority w:val="99"/>
    <w:semiHidden/>
    <w:unhideWhenUsed/>
    <w:rsid w:val="00A61B6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tab-span">
    <w:name w:val="apple-tab-span"/>
    <w:basedOn w:val="DefaultParagraphFont"/>
    <w:rsid w:val="00A61B66"/>
  </w:style>
  <w:style w:type="paragraph" w:styleId="Revision">
    <w:name w:val="Revision"/>
    <w:hidden/>
    <w:uiPriority w:val="99"/>
    <w:semiHidden/>
    <w:rsid w:val="004505F5"/>
    <w:pPr>
      <w:spacing w:after="0" w:line="240" w:lineRule="auto"/>
    </w:pPr>
  </w:style>
  <w:style w:type="character" w:styleId="UnresolvedMention">
    <w:name w:val="Unresolved Mention"/>
    <w:basedOn w:val="DefaultParagraphFont"/>
    <w:uiPriority w:val="99"/>
    <w:semiHidden/>
    <w:unhideWhenUsed/>
    <w:rsid w:val="005C2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104101">
      <w:bodyDiv w:val="1"/>
      <w:marLeft w:val="0"/>
      <w:marRight w:val="0"/>
      <w:marTop w:val="0"/>
      <w:marBottom w:val="0"/>
      <w:divBdr>
        <w:top w:val="none" w:sz="0" w:space="0" w:color="auto"/>
        <w:left w:val="none" w:sz="0" w:space="0" w:color="auto"/>
        <w:bottom w:val="none" w:sz="0" w:space="0" w:color="auto"/>
        <w:right w:val="none" w:sz="0" w:space="0" w:color="auto"/>
      </w:divBdr>
    </w:div>
    <w:div w:id="198110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orcid.org/0000-0003-2480-5519" TargetMode="Externa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ignaciolrepetto@gmail.com%2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7</Pages>
  <Words>2659</Words>
  <Characters>14626</Characters>
  <Application>Microsoft Office Word</Application>
  <DocSecurity>0</DocSecurity>
  <Lines>121</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17</cp:revision>
  <dcterms:created xsi:type="dcterms:W3CDTF">2023-08-17T21:31:00Z</dcterms:created>
  <dcterms:modified xsi:type="dcterms:W3CDTF">2023-11-16T17:21:00Z</dcterms:modified>
</cp:coreProperties>
</file>